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both"/>
        <w:rPr>
          <w:rFonts w:ascii="仿宋_GB2312" w:hAnsi="仿宋_GB2312" w:eastAsia="仿宋_GB2312" w:cs="仿宋_GB2312"/>
          <w:bCs/>
          <w:kern w:val="2"/>
          <w:sz w:val="32"/>
          <w:szCs w:val="32"/>
          <w:lang w:eastAsia="zh-CN"/>
        </w:rPr>
      </w:pPr>
      <w:r>
        <w:rPr>
          <w:rFonts w:hint="eastAsia" w:ascii="仿宋_GB2312" w:hAnsi="仿宋_GB2312" w:eastAsia="仿宋_GB2312" w:cs="仿宋_GB2312"/>
          <w:bCs/>
          <w:kern w:val="2"/>
          <w:sz w:val="32"/>
          <w:szCs w:val="32"/>
          <w:lang w:eastAsia="zh-CN"/>
        </w:rPr>
        <w:t>附件3</w:t>
      </w:r>
    </w:p>
    <w:p>
      <w:pPr>
        <w:widowControl/>
        <w:shd w:val="clear" w:color="auto" w:fill="FFFFFF"/>
        <w:spacing w:after="227"/>
        <w:jc w:val="center"/>
        <w:rPr>
          <w:rFonts w:ascii="方正小标宋简体" w:hAnsi="Times New Roman" w:eastAsia="方正小标宋简体" w:cs="Times New Roman"/>
          <w:color w:val="000000"/>
          <w:sz w:val="48"/>
          <w:szCs w:val="48"/>
          <w:lang w:eastAsia="zh-CN"/>
        </w:rPr>
      </w:pPr>
      <w:bookmarkStart w:id="0" w:name="_Hlk88644049"/>
      <w:bookmarkStart w:id="1" w:name="_Hlk88646884"/>
    </w:p>
    <w:p>
      <w:pPr>
        <w:widowControl/>
        <w:shd w:val="clear" w:color="auto" w:fill="FFFFFF"/>
        <w:spacing w:after="227"/>
        <w:jc w:val="center"/>
        <w:rPr>
          <w:rFonts w:ascii="Times New Roman" w:hAnsi="Times New Roman" w:eastAsia="微软雅黑" w:cs="Times New Roman"/>
          <w:color w:val="000000"/>
          <w:sz w:val="32"/>
          <w:szCs w:val="32"/>
          <w:lang w:eastAsia="zh-CN"/>
        </w:rPr>
      </w:pPr>
      <w:r>
        <w:rPr>
          <w:rFonts w:hint="eastAsia" w:ascii="方正小标宋简体" w:hAnsi="Times New Roman" w:eastAsia="方正小标宋简体" w:cs="Times New Roman"/>
          <w:color w:val="000000"/>
          <w:sz w:val="48"/>
          <w:szCs w:val="48"/>
          <w:lang w:eastAsia="zh-CN"/>
        </w:rPr>
        <w:t>郴</w:t>
      </w:r>
      <w:r>
        <w:rPr>
          <w:rFonts w:ascii="方正小标宋简体" w:hAnsi="Times New Roman" w:eastAsia="方正小标宋简体" w:cs="Times New Roman"/>
          <w:color w:val="000000"/>
          <w:sz w:val="48"/>
          <w:szCs w:val="48"/>
          <w:lang w:eastAsia="zh-CN"/>
        </w:rPr>
        <w:t>州市</w:t>
      </w:r>
      <w:r>
        <w:rPr>
          <w:rFonts w:hint="eastAsia" w:ascii="方正小标宋简体" w:hAnsi="Times New Roman" w:eastAsia="方正小标宋简体" w:cs="Times New Roman"/>
          <w:color w:val="000000"/>
          <w:sz w:val="48"/>
          <w:szCs w:val="48"/>
          <w:lang w:eastAsia="zh-CN"/>
        </w:rPr>
        <w:t>中</w:t>
      </w:r>
      <w:r>
        <w:rPr>
          <w:rFonts w:ascii="方正小标宋简体" w:hAnsi="Times New Roman" w:eastAsia="方正小标宋简体" w:cs="Times New Roman"/>
          <w:color w:val="000000"/>
          <w:sz w:val="48"/>
          <w:szCs w:val="48"/>
          <w:lang w:eastAsia="zh-CN"/>
        </w:rPr>
        <w:t>等职业学校</w:t>
      </w:r>
      <w:r>
        <w:rPr>
          <w:rFonts w:hint="eastAsia" w:ascii="方正小标宋简体" w:hAnsi="Times New Roman" w:eastAsia="方正小标宋简体" w:cs="Times New Roman"/>
          <w:color w:val="000000"/>
          <w:sz w:val="48"/>
          <w:szCs w:val="48"/>
          <w:lang w:eastAsia="zh-CN"/>
        </w:rPr>
        <w:t>专业办学水平合格性评价自评表</w:t>
      </w:r>
      <w:bookmarkEnd w:id="0"/>
    </w:p>
    <w:bookmarkEnd w:id="1"/>
    <w:p>
      <w:pPr>
        <w:widowControl/>
        <w:shd w:val="clear" w:color="auto" w:fill="FFFFFF"/>
        <w:spacing w:line="480" w:lineRule="atLeast"/>
        <w:ind w:firstLine="695"/>
        <w:jc w:val="both"/>
        <w:rPr>
          <w:rFonts w:ascii="Times New Roman" w:hAnsi="Times New Roman" w:eastAsia="微软雅黑" w:cs="Times New Roman"/>
          <w:color w:val="000000"/>
          <w:sz w:val="32"/>
          <w:szCs w:val="32"/>
          <w:lang w:eastAsia="zh-CN"/>
        </w:rPr>
      </w:pPr>
      <w:r>
        <w:rPr>
          <w:rFonts w:hint="eastAsia" w:ascii="微软雅黑" w:hAnsi="微软雅黑" w:eastAsia="微软雅黑" w:cs="Times New Roman"/>
          <w:color w:val="000000"/>
          <w:sz w:val="36"/>
          <w:szCs w:val="36"/>
          <w:lang w:eastAsia="zh-CN"/>
        </w:rPr>
        <w:t> </w:t>
      </w:r>
    </w:p>
    <w:p>
      <w:pPr>
        <w:widowControl/>
        <w:shd w:val="clear" w:color="auto" w:fill="FFFFFF"/>
        <w:spacing w:line="480" w:lineRule="atLeast"/>
        <w:ind w:firstLine="695"/>
        <w:jc w:val="both"/>
        <w:rPr>
          <w:rFonts w:ascii="Times New Roman" w:hAnsi="Times New Roman" w:eastAsia="微软雅黑" w:cs="Times New Roman"/>
          <w:color w:val="000000"/>
          <w:sz w:val="32"/>
          <w:szCs w:val="32"/>
          <w:lang w:eastAsia="zh-CN"/>
        </w:rPr>
      </w:pPr>
      <w:r>
        <w:rPr>
          <w:rFonts w:hint="eastAsia" w:ascii="微软雅黑" w:hAnsi="微软雅黑" w:eastAsia="微软雅黑" w:cs="Times New Roman"/>
          <w:color w:val="000000"/>
          <w:sz w:val="36"/>
          <w:szCs w:val="36"/>
          <w:lang w:eastAsia="zh-CN"/>
        </w:rPr>
        <w:t> </w:t>
      </w:r>
    </w:p>
    <w:p>
      <w:pPr>
        <w:widowControl/>
        <w:shd w:val="clear" w:color="auto" w:fill="FFFFFF"/>
        <w:spacing w:line="1040" w:lineRule="atLeast"/>
        <w:ind w:firstLine="1080" w:firstLineChars="300"/>
        <w:jc w:val="both"/>
        <w:rPr>
          <w:rFonts w:hint="default" w:ascii="Times New Roman" w:hAnsi="Times New Roman" w:eastAsia="微软雅黑" w:cs="Times New Roman"/>
          <w:color w:val="000000"/>
          <w:sz w:val="32"/>
          <w:szCs w:val="32"/>
          <w:u w:val="single"/>
          <w:lang w:val="en-US" w:eastAsia="zh-CN"/>
        </w:rPr>
      </w:pPr>
      <w:r>
        <w:rPr>
          <w:rFonts w:hint="eastAsia" w:ascii="宋体" w:hAnsi="宋体" w:eastAsia="宋体" w:cs="Times New Roman"/>
          <w:color w:val="000000"/>
          <w:sz w:val="36"/>
          <w:szCs w:val="36"/>
          <w:lang w:eastAsia="zh-CN"/>
        </w:rPr>
        <w:t>学校名称（盖章）</w:t>
      </w:r>
      <w:r>
        <w:rPr>
          <w:rFonts w:hint="eastAsia" w:ascii="宋体" w:hAnsi="宋体" w:eastAsia="宋体" w:cs="Times New Roman"/>
          <w:color w:val="000000"/>
          <w:sz w:val="36"/>
          <w:szCs w:val="36"/>
          <w:u w:val="single"/>
          <w:lang w:val="en-US" w:eastAsia="zh-CN"/>
        </w:rPr>
        <w:t xml:space="preserve">  桂阳县职业技术教育学校  </w:t>
      </w:r>
    </w:p>
    <w:p>
      <w:pPr>
        <w:widowControl/>
        <w:shd w:val="clear" w:color="auto" w:fill="FFFFFF"/>
        <w:spacing w:line="1040" w:lineRule="atLeast"/>
        <w:ind w:firstLine="1080" w:firstLineChars="300"/>
        <w:jc w:val="both"/>
        <w:rPr>
          <w:rFonts w:hint="eastAsia" w:ascii="宋体" w:hAnsi="宋体" w:eastAsia="宋体" w:cs="Times New Roman"/>
          <w:color w:val="000000"/>
          <w:sz w:val="36"/>
          <w:szCs w:val="36"/>
          <w:lang w:val="en-US" w:eastAsia="zh-CN"/>
        </w:rPr>
      </w:pPr>
      <w:r>
        <w:rPr>
          <w:rFonts w:hint="eastAsia" w:ascii="宋体" w:hAnsi="宋体" w:eastAsia="宋体" w:cs="Times New Roman"/>
          <w:color w:val="000000"/>
          <w:sz w:val="36"/>
          <w:szCs w:val="36"/>
          <w:lang w:eastAsia="zh-CN"/>
        </w:rPr>
        <w:t>专业及专业代码</w:t>
      </w:r>
      <w:r>
        <w:rPr>
          <w:rFonts w:hint="eastAsia" w:ascii="宋体" w:hAnsi="宋体" w:eastAsia="宋体" w:cs="Times New Roman"/>
          <w:color w:val="000000"/>
          <w:sz w:val="36"/>
          <w:szCs w:val="36"/>
          <w:u w:val="single"/>
          <w:lang w:val="en-US" w:eastAsia="zh-CN"/>
        </w:rPr>
        <w:t xml:space="preserve">   汽车电子技术应用</w:t>
      </w:r>
      <w:r>
        <w:rPr>
          <w:rFonts w:hint="eastAsia" w:ascii="宋体" w:hAnsi="宋体" w:eastAsia="宋体" w:cs="Times New Roman"/>
          <w:color w:val="000000"/>
          <w:sz w:val="36"/>
          <w:szCs w:val="36"/>
          <w:u w:val="single"/>
          <w:lang w:eastAsia="zh-CN"/>
        </w:rPr>
        <w:t>660703</w:t>
      </w:r>
      <w:r>
        <w:rPr>
          <w:rFonts w:hint="eastAsia" w:ascii="宋体" w:hAnsi="宋体" w:eastAsia="宋体" w:cs="Times New Roman"/>
          <w:color w:val="000000"/>
          <w:sz w:val="32"/>
          <w:szCs w:val="32"/>
          <w:u w:val="single"/>
          <w:lang w:val="en-US" w:eastAsia="zh-CN"/>
        </w:rPr>
        <w:t xml:space="preserve">   </w:t>
      </w:r>
    </w:p>
    <w:p>
      <w:pPr>
        <w:widowControl/>
        <w:shd w:val="clear" w:color="auto" w:fill="FFFFFF"/>
        <w:spacing w:line="1040" w:lineRule="atLeast"/>
        <w:ind w:firstLine="1080" w:firstLineChars="300"/>
        <w:jc w:val="both"/>
        <w:rPr>
          <w:rFonts w:hint="default" w:ascii="宋体" w:hAnsi="宋体" w:eastAsia="宋体" w:cs="Times New Roman"/>
          <w:color w:val="000000"/>
          <w:sz w:val="36"/>
          <w:szCs w:val="36"/>
          <w:u w:val="single"/>
          <w:lang w:val="en-US" w:eastAsia="zh-CN"/>
        </w:rPr>
      </w:pPr>
      <w:r>
        <w:rPr>
          <w:rFonts w:hint="eastAsia" w:ascii="宋体" w:hAnsi="宋体" w:eastAsia="宋体" w:cs="Times New Roman"/>
          <w:color w:val="000000"/>
          <w:sz w:val="36"/>
          <w:szCs w:val="36"/>
          <w:lang w:eastAsia="zh-CN"/>
        </w:rPr>
        <w:t>设置年度</w:t>
      </w:r>
      <w:r>
        <w:rPr>
          <w:rFonts w:hint="eastAsia" w:ascii="宋体" w:hAnsi="宋体" w:eastAsia="宋体" w:cs="Times New Roman"/>
          <w:color w:val="000000"/>
          <w:sz w:val="36"/>
          <w:szCs w:val="36"/>
          <w:u w:val="single"/>
          <w:lang w:val="en-US" w:eastAsia="zh-CN"/>
        </w:rPr>
        <w:t xml:space="preserve">               2017年   </w:t>
      </w:r>
      <w:r>
        <w:rPr>
          <w:rFonts w:hint="eastAsia" w:ascii="宋体" w:hAnsi="宋体" w:eastAsia="宋体" w:cs="Times New Roman"/>
          <w:color w:val="000000"/>
          <w:sz w:val="24"/>
          <w:szCs w:val="24"/>
          <w:u w:val="single"/>
          <w:lang w:val="en-US" w:eastAsia="zh-CN"/>
        </w:rPr>
        <w:t xml:space="preserve"> </w:t>
      </w:r>
      <w:r>
        <w:rPr>
          <w:rFonts w:hint="eastAsia" w:ascii="宋体" w:hAnsi="宋体" w:eastAsia="宋体" w:cs="Times New Roman"/>
          <w:color w:val="000000"/>
          <w:sz w:val="28"/>
          <w:szCs w:val="28"/>
          <w:u w:val="single"/>
          <w:lang w:val="en-US" w:eastAsia="zh-CN"/>
        </w:rPr>
        <w:t xml:space="preserve"> </w:t>
      </w:r>
      <w:r>
        <w:rPr>
          <w:rFonts w:hint="eastAsia" w:ascii="宋体" w:hAnsi="宋体" w:eastAsia="宋体" w:cs="Times New Roman"/>
          <w:color w:val="000000"/>
          <w:sz w:val="36"/>
          <w:szCs w:val="36"/>
          <w:u w:val="single"/>
          <w:lang w:val="en-US" w:eastAsia="zh-CN"/>
        </w:rPr>
        <w:t xml:space="preserve">        </w:t>
      </w:r>
    </w:p>
    <w:p>
      <w:pPr>
        <w:widowControl/>
        <w:shd w:val="clear" w:color="auto" w:fill="FFFFFF"/>
        <w:spacing w:line="1040" w:lineRule="atLeast"/>
        <w:ind w:firstLine="1080" w:firstLineChars="300"/>
        <w:jc w:val="both"/>
        <w:rPr>
          <w:rFonts w:hint="default" w:ascii="宋体" w:hAnsi="宋体" w:eastAsia="宋体" w:cs="Times New Roman"/>
          <w:color w:val="000000"/>
          <w:sz w:val="36"/>
          <w:szCs w:val="36"/>
          <w:u w:val="single"/>
          <w:lang w:val="en-US" w:eastAsia="zh-CN"/>
        </w:rPr>
      </w:pPr>
      <w:r>
        <w:rPr>
          <w:rFonts w:hint="eastAsia" w:ascii="宋体" w:hAnsi="宋体" w:eastAsia="宋体" w:cs="Times New Roman"/>
          <w:color w:val="000000"/>
          <w:sz w:val="36"/>
          <w:szCs w:val="36"/>
          <w:lang w:eastAsia="zh-CN"/>
        </w:rPr>
        <w:t>专业负责人</w:t>
      </w:r>
      <w:r>
        <w:rPr>
          <w:rFonts w:hint="eastAsia" w:ascii="宋体" w:hAnsi="宋体" w:eastAsia="宋体" w:cs="Times New Roman"/>
          <w:color w:val="000000"/>
          <w:sz w:val="36"/>
          <w:szCs w:val="36"/>
          <w:u w:val="single"/>
          <w:lang w:val="en-US" w:eastAsia="zh-CN"/>
        </w:rPr>
        <w:t xml:space="preserve">             曹 健              </w:t>
      </w:r>
    </w:p>
    <w:p>
      <w:pPr>
        <w:widowControl/>
        <w:shd w:val="clear" w:color="auto" w:fill="FFFFFF"/>
        <w:spacing w:line="480" w:lineRule="atLeast"/>
        <w:jc w:val="center"/>
        <w:rPr>
          <w:rFonts w:ascii="微软雅黑" w:hAnsi="微软雅黑" w:eastAsia="微软雅黑" w:cs="Times New Roman"/>
          <w:color w:val="000000"/>
          <w:sz w:val="36"/>
          <w:szCs w:val="36"/>
          <w:lang w:eastAsia="zh-CN"/>
        </w:rPr>
      </w:pPr>
    </w:p>
    <w:p>
      <w:pPr>
        <w:widowControl/>
        <w:shd w:val="clear" w:color="auto" w:fill="FFFFFF"/>
        <w:spacing w:line="480" w:lineRule="atLeast"/>
        <w:jc w:val="center"/>
        <w:rPr>
          <w:rFonts w:ascii="微软雅黑" w:hAnsi="微软雅黑" w:eastAsia="微软雅黑" w:cs="Times New Roman"/>
          <w:color w:val="000000"/>
          <w:sz w:val="36"/>
          <w:szCs w:val="36"/>
          <w:lang w:eastAsia="zh-CN"/>
        </w:rPr>
      </w:pPr>
    </w:p>
    <w:p>
      <w:pPr>
        <w:widowControl/>
        <w:shd w:val="clear" w:color="auto" w:fill="FFFFFF"/>
        <w:spacing w:line="480" w:lineRule="atLeast"/>
        <w:jc w:val="center"/>
        <w:rPr>
          <w:rFonts w:ascii="微软雅黑" w:hAnsi="微软雅黑" w:eastAsia="微软雅黑" w:cs="Times New Roman"/>
          <w:color w:val="000000"/>
          <w:sz w:val="36"/>
          <w:szCs w:val="36"/>
          <w:lang w:eastAsia="zh-CN"/>
        </w:rPr>
      </w:pPr>
    </w:p>
    <w:p>
      <w:pPr>
        <w:widowControl/>
        <w:shd w:val="clear" w:color="auto" w:fill="FFFFFF"/>
        <w:spacing w:line="480" w:lineRule="atLeast"/>
        <w:jc w:val="center"/>
        <w:rPr>
          <w:rFonts w:ascii="微软雅黑" w:hAnsi="微软雅黑" w:eastAsia="微软雅黑" w:cs="Times New Roman"/>
          <w:color w:val="000000"/>
          <w:sz w:val="36"/>
          <w:szCs w:val="36"/>
          <w:lang w:eastAsia="zh-CN"/>
        </w:rPr>
      </w:pPr>
    </w:p>
    <w:p>
      <w:pPr>
        <w:widowControl/>
        <w:shd w:val="clear" w:color="auto" w:fill="FFFFFF"/>
        <w:spacing w:line="480" w:lineRule="atLeast"/>
        <w:jc w:val="center"/>
        <w:rPr>
          <w:rFonts w:ascii="Times New Roman" w:hAnsi="Times New Roman" w:eastAsia="微软雅黑" w:cs="Times New Roman"/>
          <w:color w:val="000000"/>
          <w:sz w:val="32"/>
          <w:szCs w:val="32"/>
          <w:lang w:eastAsia="zh-CN"/>
        </w:rPr>
      </w:pPr>
      <w:r>
        <w:rPr>
          <w:rFonts w:hint="eastAsia" w:ascii="微软雅黑" w:hAnsi="微软雅黑" w:eastAsia="微软雅黑" w:cs="Times New Roman"/>
          <w:color w:val="000000"/>
          <w:sz w:val="36"/>
          <w:szCs w:val="36"/>
          <w:lang w:eastAsia="zh-CN"/>
        </w:rPr>
        <w:t>2022年3月</w:t>
      </w:r>
    </w:p>
    <w:p>
      <w:pPr>
        <w:widowControl/>
        <w:shd w:val="clear" w:color="auto" w:fill="FFFFFF"/>
        <w:spacing w:line="480" w:lineRule="atLeast"/>
        <w:jc w:val="center"/>
        <w:rPr>
          <w:rFonts w:ascii="微软雅黑" w:hAnsi="微软雅黑" w:eastAsia="微软雅黑" w:cs="Times New Roman"/>
          <w:color w:val="000000"/>
          <w:sz w:val="36"/>
          <w:szCs w:val="36"/>
          <w:lang w:eastAsia="zh-CN"/>
        </w:rPr>
        <w:sectPr>
          <w:pgSz w:w="11910" w:h="16840"/>
          <w:pgMar w:top="1440" w:right="1587" w:bottom="1440" w:left="1587" w:header="850" w:footer="992" w:gutter="0"/>
          <w:cols w:space="720" w:num="1"/>
        </w:sectPr>
      </w:pPr>
    </w:p>
    <w:p>
      <w:pPr>
        <w:widowControl/>
        <w:shd w:val="clear" w:color="auto" w:fill="FFFFFF"/>
        <w:spacing w:line="480" w:lineRule="atLeast"/>
        <w:jc w:val="center"/>
        <w:rPr>
          <w:rFonts w:ascii="微软雅黑" w:hAnsi="微软雅黑" w:eastAsia="微软雅黑" w:cs="Times New Roman"/>
          <w:color w:val="000000"/>
          <w:sz w:val="36"/>
          <w:szCs w:val="36"/>
          <w:lang w:eastAsia="zh-CN"/>
        </w:rPr>
      </w:pPr>
    </w:p>
    <w:p>
      <w:pPr>
        <w:widowControl/>
        <w:shd w:val="clear" w:color="auto" w:fill="FFFFFF"/>
        <w:spacing w:line="480" w:lineRule="atLeast"/>
        <w:jc w:val="center"/>
        <w:rPr>
          <w:rFonts w:ascii="宋体" w:hAnsi="宋体" w:eastAsia="宋体" w:cs="宋体"/>
          <w:b/>
          <w:bCs/>
          <w:color w:val="000000"/>
          <w:sz w:val="32"/>
          <w:szCs w:val="32"/>
          <w:lang w:eastAsia="zh-CN"/>
        </w:rPr>
      </w:pPr>
      <w:r>
        <w:rPr>
          <w:rFonts w:hint="eastAsia" w:ascii="微软雅黑" w:hAnsi="微软雅黑" w:eastAsia="微软雅黑" w:cs="Times New Roman"/>
          <w:color w:val="000000"/>
          <w:sz w:val="36"/>
          <w:szCs w:val="36"/>
          <w:lang w:eastAsia="zh-CN"/>
        </w:rPr>
        <w:t> </w:t>
      </w:r>
      <w:r>
        <w:rPr>
          <w:rFonts w:hint="eastAsia" w:ascii="宋体" w:hAnsi="宋体" w:eastAsia="宋体" w:cs="宋体"/>
          <w:b/>
          <w:bCs/>
          <w:color w:val="000000"/>
          <w:sz w:val="36"/>
          <w:szCs w:val="36"/>
          <w:lang w:eastAsia="zh-CN"/>
        </w:rPr>
        <w:t>郴州市中等职业学校专业办学水平合格性评价自评表</w:t>
      </w:r>
    </w:p>
    <w:tbl>
      <w:tblPr>
        <w:tblStyle w:val="4"/>
        <w:tblW w:w="0" w:type="auto"/>
        <w:jc w:val="center"/>
        <w:tblLayout w:type="autofit"/>
        <w:tblCellMar>
          <w:top w:w="0" w:type="dxa"/>
          <w:left w:w="0" w:type="dxa"/>
          <w:bottom w:w="0" w:type="dxa"/>
          <w:right w:w="0" w:type="dxa"/>
        </w:tblCellMar>
      </w:tblPr>
      <w:tblGrid>
        <w:gridCol w:w="1237"/>
        <w:gridCol w:w="3020"/>
        <w:gridCol w:w="3466"/>
        <w:gridCol w:w="1134"/>
      </w:tblGrid>
      <w:tr>
        <w:tblPrEx>
          <w:tblCellMar>
            <w:top w:w="0" w:type="dxa"/>
            <w:left w:w="0" w:type="dxa"/>
            <w:bottom w:w="0" w:type="dxa"/>
            <w:right w:w="0" w:type="dxa"/>
          </w:tblCellMar>
        </w:tblPrEx>
        <w:trPr>
          <w:trHeight w:val="680" w:hRule="atLeast"/>
          <w:tblHeader/>
          <w:jc w:val="center"/>
        </w:trPr>
        <w:tc>
          <w:tcPr>
            <w:tcW w:w="123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rFonts w:ascii="Times New Roman" w:hAnsi="Times New Roman" w:eastAsia="宋体" w:cs="Times New Roman"/>
                <w:color w:val="000000"/>
                <w:sz w:val="32"/>
                <w:szCs w:val="32"/>
                <w:lang w:eastAsia="zh-CN"/>
              </w:rPr>
            </w:pPr>
            <w:r>
              <w:rPr>
                <w:rFonts w:hint="eastAsia" w:ascii="宋体" w:hAnsi="宋体" w:eastAsia="宋体" w:cs="Times New Roman"/>
                <w:color w:val="000000"/>
                <w:sz w:val="21"/>
                <w:szCs w:val="21"/>
                <w:lang w:eastAsia="zh-CN"/>
              </w:rPr>
              <w:t>一级指标</w:t>
            </w:r>
          </w:p>
        </w:tc>
        <w:tc>
          <w:tcPr>
            <w:tcW w:w="30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rFonts w:ascii="Times New Roman" w:hAnsi="Times New Roman" w:eastAsia="宋体" w:cs="Times New Roman"/>
                <w:color w:val="000000"/>
                <w:sz w:val="32"/>
                <w:szCs w:val="32"/>
                <w:lang w:eastAsia="zh-CN"/>
              </w:rPr>
            </w:pPr>
            <w:r>
              <w:rPr>
                <w:rFonts w:hint="eastAsia" w:ascii="宋体" w:hAnsi="宋体" w:eastAsia="宋体" w:cs="Times New Roman"/>
                <w:color w:val="000000"/>
                <w:sz w:val="21"/>
                <w:szCs w:val="21"/>
                <w:lang w:eastAsia="zh-CN"/>
              </w:rPr>
              <w:t>二级指标</w:t>
            </w:r>
          </w:p>
        </w:tc>
        <w:tc>
          <w:tcPr>
            <w:tcW w:w="34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rFonts w:ascii="Times New Roman" w:hAnsi="Times New Roman" w:eastAsia="宋体" w:cs="Times New Roman"/>
                <w:color w:val="000000"/>
                <w:sz w:val="32"/>
                <w:szCs w:val="32"/>
                <w:lang w:eastAsia="zh-CN"/>
              </w:rPr>
            </w:pPr>
            <w:r>
              <w:rPr>
                <w:rFonts w:hint="eastAsia" w:ascii="宋体" w:hAnsi="宋体" w:eastAsia="宋体" w:cs="Times New Roman"/>
                <w:color w:val="000000"/>
                <w:sz w:val="21"/>
                <w:szCs w:val="21"/>
                <w:lang w:eastAsia="zh-CN"/>
              </w:rPr>
              <w:t>真实性描述</w:t>
            </w:r>
          </w:p>
        </w:tc>
        <w:tc>
          <w:tcPr>
            <w:tcW w:w="113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rFonts w:ascii="Times New Roman" w:hAnsi="Times New Roman" w:eastAsia="宋体" w:cs="Times New Roman"/>
                <w:color w:val="000000"/>
                <w:sz w:val="32"/>
                <w:szCs w:val="32"/>
                <w:lang w:eastAsia="zh-CN"/>
              </w:rPr>
            </w:pPr>
            <w:r>
              <w:rPr>
                <w:rFonts w:hint="eastAsia" w:ascii="宋体" w:hAnsi="宋体" w:eastAsia="宋体" w:cs="Times New Roman"/>
                <w:color w:val="000000"/>
                <w:sz w:val="21"/>
                <w:szCs w:val="21"/>
                <w:lang w:eastAsia="zh-CN"/>
              </w:rPr>
              <w:t>自评等级</w:t>
            </w:r>
          </w:p>
        </w:tc>
      </w:tr>
      <w:tr>
        <w:tblPrEx>
          <w:tblCellMar>
            <w:top w:w="0" w:type="dxa"/>
            <w:left w:w="0" w:type="dxa"/>
            <w:bottom w:w="0" w:type="dxa"/>
            <w:right w:w="0" w:type="dxa"/>
          </w:tblCellMar>
        </w:tblPrEx>
        <w:trPr>
          <w:trHeight w:val="1077" w:hRule="atLeast"/>
          <w:jc w:val="center"/>
        </w:trPr>
        <w:tc>
          <w:tcPr>
            <w:tcW w:w="123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rFonts w:ascii="Times New Roman" w:hAnsi="Times New Roman" w:eastAsia="宋体" w:cs="Times New Roman"/>
                <w:color w:val="000000"/>
                <w:sz w:val="32"/>
                <w:szCs w:val="32"/>
                <w:lang w:eastAsia="zh-CN"/>
              </w:rPr>
            </w:pPr>
            <w:r>
              <w:rPr>
                <w:rFonts w:hint="eastAsia" w:ascii="宋体" w:hAnsi="宋体" w:eastAsia="宋体" w:cs="Times New Roman"/>
                <w:color w:val="000000"/>
                <w:sz w:val="21"/>
                <w:szCs w:val="21"/>
                <w:lang w:eastAsia="zh-CN"/>
              </w:rPr>
              <w:t>1.专业定位与规划</w:t>
            </w:r>
          </w:p>
        </w:tc>
        <w:tc>
          <w:tcPr>
            <w:tcW w:w="30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ascii="Times New Roman" w:hAnsi="Times New Roman" w:eastAsia="宋体" w:cs="Times New Roman"/>
                <w:color w:val="000000"/>
                <w:sz w:val="32"/>
                <w:szCs w:val="32"/>
                <w:lang w:eastAsia="zh-CN"/>
              </w:rPr>
            </w:pPr>
            <w:r>
              <w:rPr>
                <w:rFonts w:hint="eastAsia" w:ascii="宋体" w:hAnsi="宋体" w:eastAsia="宋体" w:cs="Times New Roman"/>
                <w:color w:val="000000"/>
                <w:sz w:val="21"/>
                <w:szCs w:val="21"/>
                <w:lang w:eastAsia="zh-CN"/>
              </w:rPr>
              <w:t>1.1 专业定位</w:t>
            </w:r>
          </w:p>
        </w:tc>
        <w:tc>
          <w:tcPr>
            <w:tcW w:w="3466" w:type="dxa"/>
            <w:tcBorders>
              <w:top w:val="nil"/>
              <w:left w:val="nil"/>
              <w:bottom w:val="nil"/>
              <w:right w:val="single" w:color="auto" w:sz="8" w:space="0"/>
            </w:tcBorders>
            <w:tcMar>
              <w:top w:w="0" w:type="dxa"/>
              <w:left w:w="108" w:type="dxa"/>
              <w:bottom w:w="0" w:type="dxa"/>
              <w:right w:w="108" w:type="dxa"/>
            </w:tcMar>
            <w:vAlign w:val="center"/>
          </w:tcPr>
          <w:p>
            <w:pPr>
              <w:pStyle w:val="3"/>
              <w:keepNext w:val="0"/>
              <w:keepLines w:val="0"/>
              <w:pageBreakBefore w:val="0"/>
              <w:widowControl w:val="0"/>
              <w:tabs>
                <w:tab w:val="left" w:pos="0"/>
              </w:tabs>
              <w:kinsoku/>
              <w:wordWrap/>
              <w:overflowPunct/>
              <w:topLinePunct w:val="0"/>
              <w:autoSpaceDE/>
              <w:autoSpaceDN/>
              <w:bidi w:val="0"/>
              <w:adjustRightInd w:val="0"/>
              <w:snapToGrid/>
              <w:spacing w:line="240" w:lineRule="atLeast"/>
              <w:ind w:left="0" w:leftChars="0" w:firstLine="0" w:firstLineChars="0"/>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2"/>
                <w:sz w:val="21"/>
                <w:szCs w:val="21"/>
                <w:lang w:val="en-US" w:eastAsia="zh-CN" w:bidi="ar-SA"/>
              </w:rPr>
              <w:t>依托校企合作的办学基础，以职业技能市场需求为根据，满足汽车维修市场输送合格的技能人才。</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A</w:t>
            </w:r>
          </w:p>
        </w:tc>
      </w:tr>
      <w:tr>
        <w:tblPrEx>
          <w:tblCellMar>
            <w:top w:w="0" w:type="dxa"/>
            <w:left w:w="0" w:type="dxa"/>
            <w:bottom w:w="0" w:type="dxa"/>
            <w:right w:w="0" w:type="dxa"/>
          </w:tblCellMar>
        </w:tblPrEx>
        <w:trPr>
          <w:trHeight w:val="1077" w:hRule="atLeast"/>
          <w:jc w:val="center"/>
        </w:trPr>
        <w:tc>
          <w:tcPr>
            <w:tcW w:w="1237" w:type="dxa"/>
            <w:vMerge w:val="continue"/>
            <w:tcBorders>
              <w:top w:val="nil"/>
              <w:left w:val="single" w:color="auto" w:sz="8" w:space="0"/>
              <w:bottom w:val="single" w:color="auto" w:sz="8" w:space="0"/>
              <w:right w:val="single" w:color="auto" w:sz="8" w:space="0"/>
            </w:tcBorders>
            <w:vAlign w:val="center"/>
          </w:tcPr>
          <w:p>
            <w:pPr>
              <w:widowControl/>
              <w:spacing w:line="240" w:lineRule="exact"/>
              <w:rPr>
                <w:rFonts w:ascii="Times New Roman" w:hAnsi="Times New Roman" w:eastAsia="宋体" w:cs="Times New Roman"/>
                <w:color w:val="000000"/>
                <w:sz w:val="32"/>
                <w:szCs w:val="32"/>
                <w:lang w:eastAsia="zh-CN"/>
              </w:rPr>
            </w:pPr>
          </w:p>
        </w:tc>
        <w:tc>
          <w:tcPr>
            <w:tcW w:w="30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ascii="Times New Roman" w:hAnsi="Times New Roman" w:eastAsia="宋体" w:cs="Times New Roman"/>
                <w:color w:val="000000"/>
                <w:sz w:val="32"/>
                <w:szCs w:val="32"/>
                <w:lang w:eastAsia="zh-CN"/>
              </w:rPr>
            </w:pPr>
            <w:r>
              <w:rPr>
                <w:rFonts w:hint="eastAsia" w:ascii="宋体" w:hAnsi="宋体" w:eastAsia="宋体" w:cs="Times New Roman"/>
                <w:color w:val="000000"/>
                <w:sz w:val="21"/>
                <w:szCs w:val="21"/>
                <w:lang w:eastAsia="zh-CN"/>
              </w:rPr>
              <w:t>1.2 人才培养方案*</w:t>
            </w:r>
          </w:p>
        </w:tc>
        <w:tc>
          <w:tcPr>
            <w:tcW w:w="34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sz w:val="21"/>
                <w:szCs w:val="21"/>
              </w:rPr>
              <w:t>按照专业培养目标的能力要求，结合产教融合、</w:t>
            </w:r>
            <w:r>
              <w:rPr>
                <w:rFonts w:hint="eastAsia" w:ascii="宋体" w:hAnsi="宋体" w:eastAsia="宋体" w:cs="宋体"/>
                <w:sz w:val="21"/>
                <w:szCs w:val="21"/>
                <w:lang w:val="en-US" w:eastAsia="zh-CN"/>
              </w:rPr>
              <w:t>工学结合</w:t>
            </w:r>
            <w:r>
              <w:rPr>
                <w:rFonts w:hint="eastAsia" w:ascii="宋体" w:hAnsi="宋体" w:eastAsia="宋体" w:cs="宋体"/>
                <w:sz w:val="21"/>
                <w:szCs w:val="21"/>
              </w:rPr>
              <w:t>，构建教、学、做一体化的人才培养模式</w:t>
            </w:r>
            <w:r>
              <w:rPr>
                <w:rFonts w:hint="eastAsia" w:ascii="宋体" w:hAnsi="宋体" w:eastAsia="宋体" w:cs="宋体"/>
                <w:sz w:val="21"/>
                <w:szCs w:val="21"/>
                <w:lang w:eastAsia="zh-CN"/>
              </w:rPr>
              <w:t>。</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A</w:t>
            </w:r>
          </w:p>
        </w:tc>
      </w:tr>
      <w:tr>
        <w:tblPrEx>
          <w:tblCellMar>
            <w:top w:w="0" w:type="dxa"/>
            <w:left w:w="0" w:type="dxa"/>
            <w:bottom w:w="0" w:type="dxa"/>
            <w:right w:w="0" w:type="dxa"/>
          </w:tblCellMar>
        </w:tblPrEx>
        <w:trPr>
          <w:trHeight w:val="1077" w:hRule="atLeast"/>
          <w:jc w:val="center"/>
        </w:trPr>
        <w:tc>
          <w:tcPr>
            <w:tcW w:w="123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rFonts w:ascii="Times New Roman" w:hAnsi="Times New Roman" w:eastAsia="宋体" w:cs="Times New Roman"/>
                <w:color w:val="000000"/>
                <w:sz w:val="32"/>
                <w:szCs w:val="32"/>
                <w:lang w:eastAsia="zh-CN"/>
              </w:rPr>
            </w:pPr>
            <w:r>
              <w:rPr>
                <w:rFonts w:hint="eastAsia" w:ascii="宋体" w:hAnsi="宋体" w:eastAsia="宋体" w:cs="Times New Roman"/>
                <w:color w:val="000000"/>
                <w:sz w:val="21"/>
                <w:szCs w:val="21"/>
                <w:lang w:eastAsia="zh-CN"/>
              </w:rPr>
              <w:t>2.师资队伍</w:t>
            </w:r>
          </w:p>
        </w:tc>
        <w:tc>
          <w:tcPr>
            <w:tcW w:w="30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ascii="Times New Roman" w:hAnsi="Times New Roman" w:eastAsia="宋体" w:cs="Times New Roman"/>
                <w:color w:val="000000"/>
                <w:sz w:val="32"/>
                <w:szCs w:val="32"/>
                <w:lang w:eastAsia="zh-CN"/>
              </w:rPr>
            </w:pPr>
            <w:r>
              <w:rPr>
                <w:rFonts w:hint="eastAsia" w:ascii="宋体" w:hAnsi="宋体" w:eastAsia="宋体" w:cs="Times New Roman"/>
                <w:color w:val="000000"/>
                <w:sz w:val="21"/>
                <w:szCs w:val="21"/>
                <w:lang w:eastAsia="zh-CN"/>
              </w:rPr>
              <w:t>2.1 专业教师结构*</w:t>
            </w:r>
          </w:p>
        </w:tc>
        <w:tc>
          <w:tcPr>
            <w:tcW w:w="346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sz w:val="21"/>
                <w:szCs w:val="21"/>
              </w:rPr>
              <w:t>汽车电子技术应用专业现有专任教师1</w:t>
            </w:r>
            <w:r>
              <w:rPr>
                <w:rFonts w:hint="eastAsia" w:ascii="宋体" w:hAnsi="宋体" w:eastAsia="宋体" w:cs="宋体"/>
                <w:sz w:val="21"/>
                <w:szCs w:val="21"/>
                <w:lang w:val="en-US" w:eastAsia="zh-CN"/>
              </w:rPr>
              <w:t>5</w:t>
            </w:r>
            <w:r>
              <w:rPr>
                <w:rFonts w:hint="eastAsia" w:ascii="宋体" w:hAnsi="宋体" w:eastAsia="宋体" w:cs="宋体"/>
                <w:sz w:val="21"/>
                <w:szCs w:val="21"/>
              </w:rPr>
              <w:t>人，企业特聘兼职教师</w:t>
            </w:r>
            <w:r>
              <w:rPr>
                <w:rFonts w:hint="eastAsia" w:ascii="宋体" w:hAnsi="宋体" w:eastAsia="宋体" w:cs="宋体"/>
                <w:sz w:val="21"/>
                <w:szCs w:val="21"/>
                <w:lang w:val="en-US" w:eastAsia="zh-CN"/>
              </w:rPr>
              <w:t>5</w:t>
            </w:r>
            <w:r>
              <w:rPr>
                <w:rFonts w:hint="eastAsia" w:ascii="宋体" w:hAnsi="宋体" w:eastAsia="宋体" w:cs="宋体"/>
                <w:sz w:val="21"/>
                <w:szCs w:val="21"/>
              </w:rPr>
              <w:t>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均符合任课要求</w:t>
            </w:r>
            <w:r>
              <w:rPr>
                <w:rFonts w:hint="eastAsia" w:ascii="宋体" w:hAnsi="宋体" w:eastAsia="宋体" w:cs="宋体"/>
                <w:sz w:val="21"/>
                <w:szCs w:val="21"/>
              </w:rPr>
              <w:t>。</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A</w:t>
            </w:r>
          </w:p>
        </w:tc>
      </w:tr>
      <w:tr>
        <w:tblPrEx>
          <w:tblCellMar>
            <w:top w:w="0" w:type="dxa"/>
            <w:left w:w="0" w:type="dxa"/>
            <w:bottom w:w="0" w:type="dxa"/>
            <w:right w:w="0" w:type="dxa"/>
          </w:tblCellMar>
        </w:tblPrEx>
        <w:trPr>
          <w:trHeight w:val="1077" w:hRule="atLeast"/>
          <w:jc w:val="center"/>
        </w:trPr>
        <w:tc>
          <w:tcPr>
            <w:tcW w:w="1237" w:type="dxa"/>
            <w:vMerge w:val="continue"/>
            <w:tcBorders>
              <w:top w:val="nil"/>
              <w:left w:val="single" w:color="auto" w:sz="8" w:space="0"/>
              <w:bottom w:val="single" w:color="auto" w:sz="8" w:space="0"/>
              <w:right w:val="single" w:color="auto" w:sz="8" w:space="0"/>
            </w:tcBorders>
            <w:vAlign w:val="center"/>
          </w:tcPr>
          <w:p>
            <w:pPr>
              <w:widowControl/>
              <w:spacing w:line="240" w:lineRule="exact"/>
              <w:rPr>
                <w:rFonts w:ascii="Times New Roman" w:hAnsi="Times New Roman" w:eastAsia="宋体" w:cs="Times New Roman"/>
                <w:color w:val="000000"/>
                <w:sz w:val="32"/>
                <w:szCs w:val="32"/>
                <w:lang w:eastAsia="zh-CN"/>
              </w:rPr>
            </w:pPr>
          </w:p>
        </w:tc>
        <w:tc>
          <w:tcPr>
            <w:tcW w:w="30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ascii="Times New Roman" w:hAnsi="Times New Roman" w:eastAsia="宋体" w:cs="Times New Roman"/>
                <w:color w:val="000000"/>
                <w:sz w:val="32"/>
                <w:szCs w:val="32"/>
                <w:lang w:eastAsia="zh-CN"/>
              </w:rPr>
            </w:pPr>
            <w:r>
              <w:rPr>
                <w:rFonts w:hint="eastAsia" w:ascii="宋体" w:hAnsi="宋体" w:eastAsia="宋体" w:cs="Times New Roman"/>
                <w:color w:val="000000"/>
                <w:sz w:val="21"/>
                <w:szCs w:val="21"/>
                <w:lang w:eastAsia="zh-CN"/>
              </w:rPr>
              <w:t>2.2 师资队伍建设</w:t>
            </w:r>
          </w:p>
        </w:tc>
        <w:tc>
          <w:tcPr>
            <w:tcW w:w="346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sz w:val="21"/>
                <w:szCs w:val="21"/>
              </w:rPr>
              <w:t>采取企业派员授课、学校教师</w:t>
            </w:r>
            <w:r>
              <w:rPr>
                <w:rFonts w:hint="eastAsia" w:ascii="宋体" w:hAnsi="宋体" w:eastAsia="宋体" w:cs="宋体"/>
                <w:sz w:val="21"/>
                <w:szCs w:val="21"/>
                <w:lang w:val="en-US" w:eastAsia="zh-CN"/>
              </w:rPr>
              <w:t>驻厂实践</w:t>
            </w:r>
            <w:r>
              <w:rPr>
                <w:rFonts w:hint="eastAsia" w:ascii="宋体" w:hAnsi="宋体" w:eastAsia="宋体" w:cs="宋体"/>
                <w:sz w:val="21"/>
                <w:szCs w:val="21"/>
              </w:rPr>
              <w:t>的互动方式，实现了人才与师资的可持续培养。</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A</w:t>
            </w:r>
          </w:p>
        </w:tc>
      </w:tr>
      <w:tr>
        <w:tblPrEx>
          <w:tblCellMar>
            <w:top w:w="0" w:type="dxa"/>
            <w:left w:w="0" w:type="dxa"/>
            <w:bottom w:w="0" w:type="dxa"/>
            <w:right w:w="0" w:type="dxa"/>
          </w:tblCellMar>
        </w:tblPrEx>
        <w:trPr>
          <w:trHeight w:val="1077" w:hRule="atLeast"/>
          <w:jc w:val="center"/>
        </w:trPr>
        <w:tc>
          <w:tcPr>
            <w:tcW w:w="123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rFonts w:ascii="Times New Roman" w:hAnsi="Times New Roman" w:eastAsia="宋体" w:cs="Times New Roman"/>
                <w:color w:val="000000"/>
                <w:sz w:val="32"/>
                <w:szCs w:val="32"/>
                <w:lang w:eastAsia="zh-CN"/>
              </w:rPr>
            </w:pPr>
            <w:r>
              <w:rPr>
                <w:rFonts w:hint="eastAsia" w:ascii="宋体" w:hAnsi="宋体" w:eastAsia="宋体" w:cs="Times New Roman"/>
                <w:color w:val="000000"/>
                <w:sz w:val="21"/>
                <w:szCs w:val="21"/>
                <w:lang w:eastAsia="zh-CN"/>
              </w:rPr>
              <w:t>3.教学条件</w:t>
            </w:r>
          </w:p>
        </w:tc>
        <w:tc>
          <w:tcPr>
            <w:tcW w:w="30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ascii="Times New Roman" w:hAnsi="Times New Roman" w:eastAsia="宋体" w:cs="Times New Roman"/>
                <w:color w:val="000000"/>
                <w:sz w:val="32"/>
                <w:szCs w:val="32"/>
                <w:lang w:eastAsia="zh-CN"/>
              </w:rPr>
            </w:pPr>
            <w:r>
              <w:rPr>
                <w:rFonts w:hint="eastAsia" w:ascii="宋体" w:hAnsi="宋体" w:eastAsia="宋体" w:cs="Times New Roman"/>
                <w:color w:val="000000"/>
                <w:sz w:val="21"/>
                <w:szCs w:val="21"/>
                <w:lang w:eastAsia="zh-CN"/>
              </w:rPr>
              <w:t>3.1</w:t>
            </w:r>
            <w:r>
              <w:rPr>
                <w:rFonts w:hint="eastAsia" w:ascii="宋体" w:hAnsi="宋体" w:eastAsia="宋体" w:cs="Times New Roman"/>
                <w:b/>
                <w:bCs/>
                <w:color w:val="000000"/>
                <w:sz w:val="21"/>
                <w:szCs w:val="21"/>
                <w:lang w:eastAsia="zh-CN"/>
              </w:rPr>
              <w:t> </w:t>
            </w:r>
            <w:r>
              <w:rPr>
                <w:rFonts w:hint="eastAsia" w:ascii="宋体" w:hAnsi="宋体" w:eastAsia="宋体" w:cs="Times New Roman"/>
                <w:color w:val="000000"/>
                <w:sz w:val="21"/>
                <w:szCs w:val="21"/>
                <w:lang w:eastAsia="zh-CN"/>
              </w:rPr>
              <w:t>校内实习实训基地*</w:t>
            </w:r>
          </w:p>
        </w:tc>
        <w:tc>
          <w:tcPr>
            <w:tcW w:w="346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sz w:val="21"/>
                <w:szCs w:val="21"/>
                <w:lang w:eastAsia="zh-CN"/>
              </w:rPr>
              <w:t>现有汽车发动机、电气设备实训室、底盘实训室、</w:t>
            </w:r>
            <w:r>
              <w:rPr>
                <w:rFonts w:hint="eastAsia" w:ascii="宋体" w:hAnsi="宋体" w:eastAsia="宋体" w:cs="宋体"/>
                <w:sz w:val="21"/>
                <w:szCs w:val="21"/>
                <w:lang w:val="en-US" w:eastAsia="zh-CN"/>
              </w:rPr>
              <w:t>整车故障与</w:t>
            </w:r>
            <w:r>
              <w:rPr>
                <w:rFonts w:hint="eastAsia" w:ascii="宋体" w:hAnsi="宋体" w:eastAsia="宋体" w:cs="宋体"/>
                <w:sz w:val="21"/>
                <w:szCs w:val="21"/>
                <w:lang w:eastAsia="zh-CN"/>
              </w:rPr>
              <w:t>维修、</w:t>
            </w:r>
            <w:r>
              <w:rPr>
                <w:rFonts w:hint="eastAsia" w:ascii="宋体" w:hAnsi="宋体" w:eastAsia="宋体" w:cs="宋体"/>
                <w:sz w:val="21"/>
                <w:szCs w:val="21"/>
                <w:lang w:val="en-US" w:eastAsia="zh-CN"/>
              </w:rPr>
              <w:t>美容、新能源、维修电工、机电一体化等9</w:t>
            </w:r>
            <w:r>
              <w:rPr>
                <w:rFonts w:hint="eastAsia" w:ascii="宋体" w:hAnsi="宋体" w:eastAsia="宋体" w:cs="宋体"/>
                <w:sz w:val="21"/>
                <w:szCs w:val="21"/>
                <w:lang w:eastAsia="zh-CN"/>
              </w:rPr>
              <w:t>个</w:t>
            </w:r>
            <w:r>
              <w:rPr>
                <w:rFonts w:hint="eastAsia" w:ascii="宋体" w:hAnsi="宋体" w:eastAsia="宋体" w:cs="宋体"/>
                <w:sz w:val="21"/>
                <w:szCs w:val="21"/>
                <w:lang w:val="en-US" w:eastAsia="zh-CN"/>
              </w:rPr>
              <w:t>实训室</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校内实习基地有1个。</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A</w:t>
            </w:r>
          </w:p>
        </w:tc>
      </w:tr>
      <w:tr>
        <w:tblPrEx>
          <w:tblCellMar>
            <w:top w:w="0" w:type="dxa"/>
            <w:left w:w="0" w:type="dxa"/>
            <w:bottom w:w="0" w:type="dxa"/>
            <w:right w:w="0" w:type="dxa"/>
          </w:tblCellMar>
        </w:tblPrEx>
        <w:trPr>
          <w:trHeight w:val="1077" w:hRule="atLeast"/>
          <w:jc w:val="center"/>
        </w:trPr>
        <w:tc>
          <w:tcPr>
            <w:tcW w:w="1237" w:type="dxa"/>
            <w:vMerge w:val="continue"/>
            <w:tcBorders>
              <w:top w:val="nil"/>
              <w:left w:val="single" w:color="auto" w:sz="8" w:space="0"/>
              <w:bottom w:val="single" w:color="auto" w:sz="8" w:space="0"/>
              <w:right w:val="single" w:color="auto" w:sz="8" w:space="0"/>
            </w:tcBorders>
            <w:vAlign w:val="center"/>
          </w:tcPr>
          <w:p>
            <w:pPr>
              <w:widowControl/>
              <w:spacing w:line="240" w:lineRule="exact"/>
              <w:rPr>
                <w:rFonts w:ascii="Times New Roman" w:hAnsi="Times New Roman" w:eastAsia="宋体" w:cs="Times New Roman"/>
                <w:color w:val="000000"/>
                <w:sz w:val="32"/>
                <w:szCs w:val="32"/>
                <w:lang w:eastAsia="zh-CN"/>
              </w:rPr>
            </w:pPr>
          </w:p>
        </w:tc>
        <w:tc>
          <w:tcPr>
            <w:tcW w:w="30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ascii="Times New Roman" w:hAnsi="Times New Roman" w:eastAsia="宋体" w:cs="Times New Roman"/>
                <w:color w:val="000000"/>
                <w:sz w:val="32"/>
                <w:szCs w:val="32"/>
                <w:lang w:eastAsia="zh-CN"/>
              </w:rPr>
            </w:pPr>
            <w:r>
              <w:rPr>
                <w:rFonts w:hint="eastAsia" w:ascii="宋体" w:hAnsi="宋体" w:eastAsia="宋体" w:cs="Times New Roman"/>
                <w:color w:val="000000"/>
                <w:sz w:val="21"/>
                <w:szCs w:val="21"/>
                <w:lang w:eastAsia="zh-CN"/>
              </w:rPr>
              <w:t>3.2 校外实习实训基地</w:t>
            </w:r>
          </w:p>
        </w:tc>
        <w:tc>
          <w:tcPr>
            <w:tcW w:w="346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sz w:val="21"/>
                <w:szCs w:val="21"/>
              </w:rPr>
              <w:t>现有</w:t>
            </w:r>
            <w:r>
              <w:rPr>
                <w:rFonts w:hint="eastAsia" w:ascii="宋体" w:hAnsi="宋体" w:eastAsia="宋体" w:cs="宋体"/>
                <w:sz w:val="21"/>
                <w:szCs w:val="21"/>
                <w:lang w:val="en-US" w:eastAsia="zh-CN"/>
              </w:rPr>
              <w:t>2</w:t>
            </w:r>
            <w:r>
              <w:rPr>
                <w:rFonts w:hint="eastAsia" w:ascii="宋体" w:hAnsi="宋体" w:eastAsia="宋体" w:cs="宋体"/>
                <w:sz w:val="21"/>
                <w:szCs w:val="21"/>
              </w:rPr>
              <w:t>个校外实习实训基地，能完全满足学生认知实习、跟岗实习和顶岗实习的需求，且均能接受学生就业。</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A</w:t>
            </w:r>
          </w:p>
        </w:tc>
      </w:tr>
      <w:tr>
        <w:tblPrEx>
          <w:tblCellMar>
            <w:top w:w="0" w:type="dxa"/>
            <w:left w:w="0" w:type="dxa"/>
            <w:bottom w:w="0" w:type="dxa"/>
            <w:right w:w="0" w:type="dxa"/>
          </w:tblCellMar>
        </w:tblPrEx>
        <w:trPr>
          <w:trHeight w:val="1077" w:hRule="atLeast"/>
          <w:jc w:val="center"/>
        </w:trPr>
        <w:tc>
          <w:tcPr>
            <w:tcW w:w="1237" w:type="dxa"/>
            <w:vMerge w:val="continue"/>
            <w:tcBorders>
              <w:top w:val="nil"/>
              <w:left w:val="single" w:color="auto" w:sz="8" w:space="0"/>
              <w:bottom w:val="single" w:color="auto" w:sz="8" w:space="0"/>
              <w:right w:val="single" w:color="auto" w:sz="8" w:space="0"/>
            </w:tcBorders>
            <w:vAlign w:val="center"/>
          </w:tcPr>
          <w:p>
            <w:pPr>
              <w:widowControl/>
              <w:spacing w:line="240" w:lineRule="exact"/>
              <w:rPr>
                <w:rFonts w:ascii="Times New Roman" w:hAnsi="Times New Roman" w:eastAsia="宋体" w:cs="Times New Roman"/>
                <w:color w:val="000000"/>
                <w:sz w:val="32"/>
                <w:szCs w:val="32"/>
                <w:lang w:eastAsia="zh-CN"/>
              </w:rPr>
            </w:pPr>
          </w:p>
        </w:tc>
        <w:tc>
          <w:tcPr>
            <w:tcW w:w="30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ascii="Times New Roman" w:hAnsi="Times New Roman" w:eastAsia="宋体" w:cs="Times New Roman"/>
                <w:color w:val="000000"/>
                <w:sz w:val="32"/>
                <w:szCs w:val="32"/>
                <w:lang w:eastAsia="zh-CN"/>
              </w:rPr>
            </w:pPr>
            <w:r>
              <w:rPr>
                <w:rFonts w:hint="eastAsia" w:ascii="宋体" w:hAnsi="宋体" w:eastAsia="宋体" w:cs="Times New Roman"/>
                <w:color w:val="000000"/>
                <w:sz w:val="21"/>
                <w:szCs w:val="21"/>
                <w:lang w:eastAsia="zh-CN"/>
              </w:rPr>
              <w:t>3.3 图书与教材资料</w:t>
            </w:r>
          </w:p>
        </w:tc>
        <w:tc>
          <w:tcPr>
            <w:tcW w:w="346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sz w:val="21"/>
                <w:szCs w:val="21"/>
              </w:rPr>
              <w:t>专业图书资料1050册左右</w:t>
            </w:r>
            <w:r>
              <w:rPr>
                <w:rFonts w:hint="eastAsia" w:ascii="宋体" w:hAnsi="宋体" w:eastAsia="宋体" w:cs="宋体"/>
                <w:sz w:val="21"/>
                <w:szCs w:val="21"/>
                <w:lang w:eastAsia="zh-CN"/>
              </w:rPr>
              <w:t>，</w:t>
            </w:r>
            <w:r>
              <w:rPr>
                <w:rFonts w:hint="eastAsia" w:ascii="宋体" w:hAnsi="宋体" w:eastAsia="宋体" w:cs="宋体"/>
                <w:sz w:val="21"/>
                <w:szCs w:val="21"/>
              </w:rPr>
              <w:t>数字化教学资源，共有809类专业资源可供专业教师选择。选用国家规划教材</w:t>
            </w:r>
            <w:r>
              <w:rPr>
                <w:rFonts w:hint="eastAsia" w:ascii="宋体" w:hAnsi="宋体" w:eastAsia="宋体" w:cs="宋体"/>
                <w:sz w:val="21"/>
                <w:szCs w:val="21"/>
                <w:lang w:eastAsia="zh-CN"/>
              </w:rPr>
              <w:t>。</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A</w:t>
            </w:r>
          </w:p>
        </w:tc>
      </w:tr>
      <w:tr>
        <w:tblPrEx>
          <w:tblCellMar>
            <w:top w:w="0" w:type="dxa"/>
            <w:left w:w="0" w:type="dxa"/>
            <w:bottom w:w="0" w:type="dxa"/>
            <w:right w:w="0" w:type="dxa"/>
          </w:tblCellMar>
        </w:tblPrEx>
        <w:trPr>
          <w:trHeight w:val="1077" w:hRule="atLeast"/>
          <w:jc w:val="center"/>
        </w:trPr>
        <w:tc>
          <w:tcPr>
            <w:tcW w:w="1237" w:type="dxa"/>
            <w:vMerge w:val="continue"/>
            <w:tcBorders>
              <w:top w:val="nil"/>
              <w:left w:val="single" w:color="auto" w:sz="8" w:space="0"/>
              <w:bottom w:val="single" w:color="auto" w:sz="8" w:space="0"/>
              <w:right w:val="single" w:color="auto" w:sz="8" w:space="0"/>
            </w:tcBorders>
            <w:vAlign w:val="center"/>
          </w:tcPr>
          <w:p>
            <w:pPr>
              <w:widowControl/>
              <w:spacing w:line="240" w:lineRule="exact"/>
              <w:rPr>
                <w:rFonts w:ascii="Times New Roman" w:hAnsi="Times New Roman" w:eastAsia="宋体" w:cs="Times New Roman"/>
                <w:color w:val="000000"/>
                <w:sz w:val="32"/>
                <w:szCs w:val="32"/>
                <w:lang w:eastAsia="zh-CN"/>
              </w:rPr>
            </w:pPr>
          </w:p>
        </w:tc>
        <w:tc>
          <w:tcPr>
            <w:tcW w:w="30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ascii="Times New Roman" w:hAnsi="Times New Roman" w:eastAsia="宋体" w:cs="Times New Roman"/>
                <w:color w:val="000000"/>
                <w:sz w:val="32"/>
                <w:szCs w:val="32"/>
                <w:lang w:eastAsia="zh-CN"/>
              </w:rPr>
            </w:pPr>
            <w:r>
              <w:rPr>
                <w:rFonts w:hint="eastAsia" w:ascii="宋体" w:hAnsi="宋体" w:eastAsia="宋体" w:cs="Times New Roman"/>
                <w:color w:val="000000"/>
                <w:sz w:val="21"/>
                <w:szCs w:val="21"/>
                <w:lang w:eastAsia="zh-CN"/>
              </w:rPr>
              <w:t>3.4 专业经费投入</w:t>
            </w:r>
          </w:p>
        </w:tc>
        <w:tc>
          <w:tcPr>
            <w:tcW w:w="346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sz w:val="21"/>
                <w:szCs w:val="21"/>
              </w:rPr>
              <w:t>2016年我校新校区一次性投入1470万元，加上老校区原有550万实训设备，共计2020万元，完全能满足教学与实训需要。</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A</w:t>
            </w:r>
          </w:p>
        </w:tc>
      </w:tr>
      <w:tr>
        <w:tblPrEx>
          <w:tblCellMar>
            <w:top w:w="0" w:type="dxa"/>
            <w:left w:w="0" w:type="dxa"/>
            <w:bottom w:w="0" w:type="dxa"/>
            <w:right w:w="0" w:type="dxa"/>
          </w:tblCellMar>
        </w:tblPrEx>
        <w:trPr>
          <w:trHeight w:val="1077" w:hRule="atLeast"/>
          <w:jc w:val="center"/>
        </w:trPr>
        <w:tc>
          <w:tcPr>
            <w:tcW w:w="123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rFonts w:ascii="Times New Roman" w:hAnsi="Times New Roman" w:eastAsia="宋体" w:cs="Times New Roman"/>
                <w:color w:val="000000"/>
                <w:sz w:val="32"/>
                <w:szCs w:val="32"/>
                <w:lang w:eastAsia="zh-CN"/>
              </w:rPr>
            </w:pPr>
            <w:r>
              <w:rPr>
                <w:rFonts w:hint="eastAsia" w:ascii="宋体" w:hAnsi="宋体" w:eastAsia="宋体" w:cs="Times New Roman"/>
                <w:color w:val="000000"/>
                <w:sz w:val="21"/>
                <w:szCs w:val="21"/>
                <w:lang w:eastAsia="zh-CN"/>
              </w:rPr>
              <w:t>4.教学运行与管理</w:t>
            </w:r>
          </w:p>
        </w:tc>
        <w:tc>
          <w:tcPr>
            <w:tcW w:w="30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ascii="Times New Roman" w:hAnsi="Times New Roman" w:eastAsia="宋体" w:cs="Times New Roman"/>
                <w:color w:val="000000"/>
                <w:sz w:val="32"/>
                <w:szCs w:val="32"/>
                <w:lang w:eastAsia="zh-CN"/>
              </w:rPr>
            </w:pPr>
            <w:r>
              <w:rPr>
                <w:rFonts w:hint="eastAsia" w:ascii="宋体" w:hAnsi="宋体" w:eastAsia="宋体" w:cs="Times New Roman"/>
                <w:color w:val="000000"/>
                <w:sz w:val="21"/>
                <w:szCs w:val="21"/>
                <w:lang w:eastAsia="zh-CN"/>
              </w:rPr>
              <w:t>4.1 课程体系与教学内容*</w:t>
            </w:r>
          </w:p>
        </w:tc>
        <w:tc>
          <w:tcPr>
            <w:tcW w:w="346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sz w:val="21"/>
                <w:szCs w:val="21"/>
              </w:rPr>
              <w:t>课程体系结构合理，课程分为公共基础模块和专业技能模块，课时设置科学。</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A</w:t>
            </w:r>
          </w:p>
        </w:tc>
      </w:tr>
      <w:tr>
        <w:tblPrEx>
          <w:tblCellMar>
            <w:top w:w="0" w:type="dxa"/>
            <w:left w:w="0" w:type="dxa"/>
            <w:bottom w:w="0" w:type="dxa"/>
            <w:right w:w="0" w:type="dxa"/>
          </w:tblCellMar>
        </w:tblPrEx>
        <w:trPr>
          <w:trHeight w:val="1077" w:hRule="atLeast"/>
          <w:jc w:val="center"/>
        </w:trPr>
        <w:tc>
          <w:tcPr>
            <w:tcW w:w="1237" w:type="dxa"/>
            <w:vMerge w:val="continue"/>
            <w:tcBorders>
              <w:top w:val="nil"/>
              <w:left w:val="single" w:color="auto" w:sz="8" w:space="0"/>
              <w:bottom w:val="single" w:color="auto" w:sz="8" w:space="0"/>
              <w:right w:val="single" w:color="auto" w:sz="8" w:space="0"/>
            </w:tcBorders>
            <w:vAlign w:val="center"/>
          </w:tcPr>
          <w:p>
            <w:pPr>
              <w:widowControl/>
              <w:spacing w:line="240" w:lineRule="exact"/>
              <w:rPr>
                <w:rFonts w:ascii="Times New Roman" w:hAnsi="Times New Roman" w:eastAsia="宋体" w:cs="Times New Roman"/>
                <w:color w:val="000000"/>
                <w:sz w:val="32"/>
                <w:szCs w:val="32"/>
                <w:lang w:eastAsia="zh-CN"/>
              </w:rPr>
            </w:pPr>
          </w:p>
        </w:tc>
        <w:tc>
          <w:tcPr>
            <w:tcW w:w="30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ascii="Times New Roman" w:hAnsi="Times New Roman" w:eastAsia="宋体" w:cs="Times New Roman"/>
                <w:color w:val="000000"/>
                <w:sz w:val="32"/>
                <w:szCs w:val="32"/>
                <w:lang w:eastAsia="zh-CN"/>
              </w:rPr>
            </w:pPr>
            <w:r>
              <w:rPr>
                <w:rFonts w:hint="eastAsia" w:ascii="宋体" w:hAnsi="宋体" w:eastAsia="宋体" w:cs="Times New Roman"/>
                <w:color w:val="000000"/>
                <w:sz w:val="21"/>
                <w:szCs w:val="21"/>
                <w:lang w:eastAsia="zh-CN"/>
              </w:rPr>
              <w:t>4.2 实践教学*</w:t>
            </w:r>
          </w:p>
        </w:tc>
        <w:tc>
          <w:tcPr>
            <w:tcW w:w="346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sz w:val="21"/>
                <w:szCs w:val="21"/>
                <w:lang w:eastAsia="zh-CN"/>
              </w:rPr>
              <w:t>现有汽车发动机、电气设备实训室、底盘实训室、</w:t>
            </w:r>
            <w:r>
              <w:rPr>
                <w:rFonts w:hint="eastAsia" w:ascii="宋体" w:hAnsi="宋体" w:eastAsia="宋体" w:cs="宋体"/>
                <w:sz w:val="21"/>
                <w:szCs w:val="21"/>
                <w:lang w:val="en-US" w:eastAsia="zh-CN"/>
              </w:rPr>
              <w:t>整车故障与</w:t>
            </w:r>
            <w:r>
              <w:rPr>
                <w:rFonts w:hint="eastAsia" w:ascii="宋体" w:hAnsi="宋体" w:eastAsia="宋体" w:cs="宋体"/>
                <w:sz w:val="21"/>
                <w:szCs w:val="21"/>
                <w:lang w:eastAsia="zh-CN"/>
              </w:rPr>
              <w:t>维修、</w:t>
            </w:r>
            <w:r>
              <w:rPr>
                <w:rFonts w:hint="eastAsia" w:ascii="宋体" w:hAnsi="宋体" w:eastAsia="宋体" w:cs="宋体"/>
                <w:sz w:val="21"/>
                <w:szCs w:val="21"/>
                <w:lang w:val="en-US" w:eastAsia="zh-CN"/>
              </w:rPr>
              <w:t>美容、新能源、维修电工、机电一体化等9</w:t>
            </w:r>
            <w:r>
              <w:rPr>
                <w:rFonts w:hint="eastAsia" w:ascii="宋体" w:hAnsi="宋体" w:eastAsia="宋体" w:cs="宋体"/>
                <w:sz w:val="21"/>
                <w:szCs w:val="21"/>
                <w:lang w:eastAsia="zh-CN"/>
              </w:rPr>
              <w:t>个</w:t>
            </w:r>
            <w:r>
              <w:rPr>
                <w:rFonts w:hint="eastAsia" w:ascii="宋体" w:hAnsi="宋体" w:eastAsia="宋体" w:cs="宋体"/>
                <w:sz w:val="21"/>
                <w:szCs w:val="21"/>
                <w:lang w:val="en-US" w:eastAsia="zh-CN"/>
              </w:rPr>
              <w:t>实训室</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校内实习基地有1个。</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A</w:t>
            </w:r>
          </w:p>
        </w:tc>
      </w:tr>
      <w:tr>
        <w:tblPrEx>
          <w:tblCellMar>
            <w:top w:w="0" w:type="dxa"/>
            <w:left w:w="0" w:type="dxa"/>
            <w:bottom w:w="0" w:type="dxa"/>
            <w:right w:w="0" w:type="dxa"/>
          </w:tblCellMar>
        </w:tblPrEx>
        <w:trPr>
          <w:trHeight w:val="1077" w:hRule="atLeast"/>
          <w:jc w:val="center"/>
        </w:trPr>
        <w:tc>
          <w:tcPr>
            <w:tcW w:w="1237" w:type="dxa"/>
            <w:vMerge w:val="continue"/>
            <w:tcBorders>
              <w:top w:val="nil"/>
              <w:left w:val="single" w:color="auto" w:sz="8" w:space="0"/>
              <w:bottom w:val="single" w:color="auto" w:sz="8" w:space="0"/>
              <w:right w:val="single" w:color="auto" w:sz="8" w:space="0"/>
            </w:tcBorders>
            <w:vAlign w:val="center"/>
          </w:tcPr>
          <w:p>
            <w:pPr>
              <w:widowControl/>
              <w:spacing w:line="240" w:lineRule="exact"/>
              <w:rPr>
                <w:rFonts w:ascii="Times New Roman" w:hAnsi="Times New Roman" w:eastAsia="宋体" w:cs="Times New Roman"/>
                <w:color w:val="000000"/>
                <w:sz w:val="32"/>
                <w:szCs w:val="32"/>
                <w:lang w:eastAsia="zh-CN"/>
              </w:rPr>
            </w:pPr>
          </w:p>
        </w:tc>
        <w:tc>
          <w:tcPr>
            <w:tcW w:w="30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ascii="Times New Roman" w:hAnsi="Times New Roman" w:eastAsia="宋体" w:cs="Times New Roman"/>
                <w:color w:val="000000"/>
                <w:sz w:val="32"/>
                <w:szCs w:val="32"/>
                <w:lang w:eastAsia="zh-CN"/>
              </w:rPr>
            </w:pPr>
            <w:r>
              <w:rPr>
                <w:rFonts w:hint="eastAsia" w:ascii="宋体" w:hAnsi="宋体" w:eastAsia="宋体" w:cs="Times New Roman"/>
                <w:color w:val="000000"/>
                <w:sz w:val="21"/>
                <w:szCs w:val="21"/>
                <w:lang w:eastAsia="zh-CN"/>
              </w:rPr>
              <w:t>4.3 教学方法与手段</w:t>
            </w:r>
          </w:p>
        </w:tc>
        <w:tc>
          <w:tcPr>
            <w:tcW w:w="346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sz w:val="21"/>
                <w:szCs w:val="21"/>
                <w:lang w:val="en-US" w:eastAsia="zh-CN"/>
              </w:rPr>
              <w:t>专业课程推行理实一体化的教学方法，充分调动学生学习热情和主动性。</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A</w:t>
            </w:r>
          </w:p>
        </w:tc>
      </w:tr>
      <w:tr>
        <w:tblPrEx>
          <w:tblCellMar>
            <w:top w:w="0" w:type="dxa"/>
            <w:left w:w="0" w:type="dxa"/>
            <w:bottom w:w="0" w:type="dxa"/>
            <w:right w:w="0" w:type="dxa"/>
          </w:tblCellMar>
        </w:tblPrEx>
        <w:trPr>
          <w:trHeight w:val="1077" w:hRule="atLeast"/>
          <w:jc w:val="center"/>
        </w:trPr>
        <w:tc>
          <w:tcPr>
            <w:tcW w:w="1237" w:type="dxa"/>
            <w:vMerge w:val="continue"/>
            <w:tcBorders>
              <w:top w:val="nil"/>
              <w:left w:val="single" w:color="auto" w:sz="8" w:space="0"/>
              <w:bottom w:val="single" w:color="auto" w:sz="8" w:space="0"/>
              <w:right w:val="single" w:color="auto" w:sz="8" w:space="0"/>
            </w:tcBorders>
            <w:vAlign w:val="center"/>
          </w:tcPr>
          <w:p>
            <w:pPr>
              <w:widowControl/>
              <w:spacing w:line="240" w:lineRule="exact"/>
              <w:rPr>
                <w:rFonts w:ascii="Times New Roman" w:hAnsi="Times New Roman" w:eastAsia="宋体" w:cs="Times New Roman"/>
                <w:color w:val="000000"/>
                <w:sz w:val="32"/>
                <w:szCs w:val="32"/>
                <w:lang w:eastAsia="zh-CN"/>
              </w:rPr>
            </w:pPr>
          </w:p>
        </w:tc>
        <w:tc>
          <w:tcPr>
            <w:tcW w:w="30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ascii="Times New Roman" w:hAnsi="Times New Roman" w:eastAsia="宋体" w:cs="Times New Roman"/>
                <w:color w:val="000000"/>
                <w:sz w:val="32"/>
                <w:szCs w:val="32"/>
                <w:lang w:eastAsia="zh-CN"/>
              </w:rPr>
            </w:pPr>
            <w:r>
              <w:rPr>
                <w:rFonts w:hint="eastAsia" w:ascii="宋体" w:hAnsi="宋体" w:eastAsia="宋体" w:cs="Times New Roman"/>
                <w:color w:val="000000"/>
                <w:sz w:val="21"/>
                <w:szCs w:val="21"/>
                <w:lang w:eastAsia="zh-CN"/>
              </w:rPr>
              <w:t>4.4 教学管理*</w:t>
            </w:r>
          </w:p>
        </w:tc>
        <w:tc>
          <w:tcPr>
            <w:tcW w:w="346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sz w:val="21"/>
                <w:szCs w:val="21"/>
              </w:rPr>
              <w:t>根据不同课程的特点，采取“分类考核、题库保障”的教学质量管理模式</w:t>
            </w:r>
            <w:r>
              <w:rPr>
                <w:rFonts w:hint="eastAsia" w:ascii="宋体" w:hAnsi="宋体" w:eastAsia="宋体" w:cs="宋体"/>
                <w:sz w:val="21"/>
                <w:szCs w:val="21"/>
                <w:lang w:eastAsia="zh-CN"/>
              </w:rPr>
              <w:t>。</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A</w:t>
            </w:r>
          </w:p>
        </w:tc>
      </w:tr>
      <w:tr>
        <w:tblPrEx>
          <w:tblCellMar>
            <w:top w:w="0" w:type="dxa"/>
            <w:left w:w="0" w:type="dxa"/>
            <w:bottom w:w="0" w:type="dxa"/>
            <w:right w:w="0" w:type="dxa"/>
          </w:tblCellMar>
        </w:tblPrEx>
        <w:trPr>
          <w:trHeight w:val="1077" w:hRule="atLeast"/>
          <w:jc w:val="center"/>
        </w:trPr>
        <w:tc>
          <w:tcPr>
            <w:tcW w:w="1237" w:type="dxa"/>
            <w:vMerge w:val="continue"/>
            <w:tcBorders>
              <w:top w:val="nil"/>
              <w:left w:val="single" w:color="auto" w:sz="8" w:space="0"/>
              <w:bottom w:val="single" w:color="auto" w:sz="8" w:space="0"/>
              <w:right w:val="single" w:color="auto" w:sz="8" w:space="0"/>
            </w:tcBorders>
            <w:vAlign w:val="center"/>
          </w:tcPr>
          <w:p>
            <w:pPr>
              <w:widowControl/>
              <w:spacing w:line="240" w:lineRule="exact"/>
              <w:rPr>
                <w:rFonts w:ascii="Times New Roman" w:hAnsi="Times New Roman" w:eastAsia="宋体" w:cs="Times New Roman"/>
                <w:color w:val="000000"/>
                <w:sz w:val="32"/>
                <w:szCs w:val="32"/>
                <w:lang w:eastAsia="zh-CN"/>
              </w:rPr>
            </w:pPr>
          </w:p>
        </w:tc>
        <w:tc>
          <w:tcPr>
            <w:tcW w:w="30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ascii="Times New Roman" w:hAnsi="Times New Roman" w:eastAsia="宋体" w:cs="Times New Roman"/>
                <w:color w:val="000000"/>
                <w:sz w:val="32"/>
                <w:szCs w:val="32"/>
                <w:lang w:eastAsia="zh-CN"/>
              </w:rPr>
            </w:pPr>
            <w:r>
              <w:rPr>
                <w:rFonts w:hint="eastAsia" w:ascii="宋体" w:hAnsi="宋体" w:eastAsia="宋体" w:cs="Times New Roman"/>
                <w:color w:val="000000"/>
                <w:sz w:val="21"/>
                <w:szCs w:val="21"/>
                <w:lang w:eastAsia="zh-CN"/>
              </w:rPr>
              <w:t>4.5 教研教改</w:t>
            </w:r>
          </w:p>
        </w:tc>
        <w:tc>
          <w:tcPr>
            <w:tcW w:w="346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sz w:val="21"/>
                <w:szCs w:val="21"/>
              </w:rPr>
              <w:t>学校每学期都会开展教师汇报课、优秀教师示范课、实训教师实践指导课等公开课活。</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A</w:t>
            </w:r>
          </w:p>
        </w:tc>
      </w:tr>
      <w:tr>
        <w:tblPrEx>
          <w:tblCellMar>
            <w:top w:w="0" w:type="dxa"/>
            <w:left w:w="0" w:type="dxa"/>
            <w:bottom w:w="0" w:type="dxa"/>
            <w:right w:w="0" w:type="dxa"/>
          </w:tblCellMar>
        </w:tblPrEx>
        <w:trPr>
          <w:trHeight w:val="1077" w:hRule="atLeast"/>
          <w:jc w:val="center"/>
        </w:trPr>
        <w:tc>
          <w:tcPr>
            <w:tcW w:w="123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rFonts w:ascii="Times New Roman" w:hAnsi="Times New Roman" w:eastAsia="宋体" w:cs="Times New Roman"/>
                <w:color w:val="000000"/>
                <w:sz w:val="32"/>
                <w:szCs w:val="32"/>
                <w:lang w:eastAsia="zh-CN"/>
              </w:rPr>
            </w:pPr>
            <w:r>
              <w:rPr>
                <w:rFonts w:hint="eastAsia" w:ascii="宋体" w:hAnsi="宋体" w:eastAsia="宋体" w:cs="Times New Roman"/>
                <w:color w:val="000000"/>
                <w:sz w:val="21"/>
                <w:szCs w:val="21"/>
                <w:lang w:eastAsia="zh-CN"/>
              </w:rPr>
              <w:t>5.人才培养质量</w:t>
            </w:r>
          </w:p>
        </w:tc>
        <w:tc>
          <w:tcPr>
            <w:tcW w:w="30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ascii="Times New Roman" w:hAnsi="Times New Roman" w:eastAsia="宋体" w:cs="Times New Roman"/>
                <w:color w:val="000000"/>
                <w:sz w:val="32"/>
                <w:szCs w:val="32"/>
                <w:lang w:eastAsia="zh-CN"/>
              </w:rPr>
            </w:pPr>
            <w:r>
              <w:rPr>
                <w:rFonts w:hint="eastAsia" w:ascii="宋体" w:hAnsi="宋体" w:eastAsia="宋体" w:cs="Times New Roman"/>
                <w:color w:val="000000"/>
                <w:sz w:val="21"/>
                <w:szCs w:val="21"/>
                <w:lang w:eastAsia="zh-CN"/>
              </w:rPr>
              <w:t>5.1 思想道德*</w:t>
            </w:r>
          </w:p>
        </w:tc>
        <w:tc>
          <w:tcPr>
            <w:tcW w:w="346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sz w:val="21"/>
                <w:szCs w:val="21"/>
              </w:rPr>
              <w:t>学校开设哲学、就业指导等</w:t>
            </w:r>
            <w:r>
              <w:rPr>
                <w:rFonts w:hint="eastAsia" w:ascii="宋体" w:hAnsi="宋体" w:eastAsia="宋体" w:cs="宋体"/>
                <w:sz w:val="21"/>
                <w:szCs w:val="21"/>
                <w:lang w:val="en-US" w:eastAsia="zh-CN"/>
              </w:rPr>
              <w:t>思政课程</w:t>
            </w:r>
            <w:r>
              <w:rPr>
                <w:rFonts w:hint="eastAsia" w:ascii="宋体" w:hAnsi="宋体" w:eastAsia="宋体" w:cs="宋体"/>
                <w:sz w:val="21"/>
                <w:szCs w:val="21"/>
              </w:rPr>
              <w:t>，</w:t>
            </w:r>
            <w:r>
              <w:rPr>
                <w:rFonts w:hint="eastAsia" w:ascii="宋体" w:hAnsi="宋体" w:eastAsia="宋体" w:cs="宋体"/>
                <w:sz w:val="21"/>
                <w:szCs w:val="21"/>
                <w:lang w:val="en-US" w:eastAsia="zh-CN"/>
              </w:rPr>
              <w:t>专业课程与思政元素有机融合</w:t>
            </w:r>
            <w:r>
              <w:rPr>
                <w:rFonts w:hint="eastAsia" w:ascii="宋体" w:hAnsi="宋体" w:eastAsia="宋体" w:cs="宋体"/>
                <w:sz w:val="21"/>
                <w:szCs w:val="21"/>
              </w:rPr>
              <w:t>。</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A</w:t>
            </w:r>
          </w:p>
        </w:tc>
      </w:tr>
      <w:tr>
        <w:tblPrEx>
          <w:tblCellMar>
            <w:top w:w="0" w:type="dxa"/>
            <w:left w:w="0" w:type="dxa"/>
            <w:bottom w:w="0" w:type="dxa"/>
            <w:right w:w="0" w:type="dxa"/>
          </w:tblCellMar>
        </w:tblPrEx>
        <w:trPr>
          <w:trHeight w:val="1077" w:hRule="atLeast"/>
          <w:jc w:val="center"/>
        </w:trPr>
        <w:tc>
          <w:tcPr>
            <w:tcW w:w="1237" w:type="dxa"/>
            <w:vMerge w:val="continue"/>
            <w:tcBorders>
              <w:top w:val="nil"/>
              <w:left w:val="single" w:color="auto" w:sz="8" w:space="0"/>
              <w:bottom w:val="single" w:color="auto" w:sz="8" w:space="0"/>
              <w:right w:val="single" w:color="auto" w:sz="8" w:space="0"/>
            </w:tcBorders>
            <w:vAlign w:val="center"/>
          </w:tcPr>
          <w:p>
            <w:pPr>
              <w:widowControl/>
              <w:spacing w:line="240" w:lineRule="exact"/>
              <w:rPr>
                <w:rFonts w:ascii="Times New Roman" w:hAnsi="Times New Roman" w:eastAsia="宋体" w:cs="Times New Roman"/>
                <w:color w:val="000000"/>
                <w:sz w:val="32"/>
                <w:szCs w:val="32"/>
                <w:lang w:eastAsia="zh-CN"/>
              </w:rPr>
            </w:pPr>
          </w:p>
        </w:tc>
        <w:tc>
          <w:tcPr>
            <w:tcW w:w="30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ascii="Times New Roman" w:hAnsi="Times New Roman" w:eastAsia="宋体" w:cs="Times New Roman"/>
                <w:color w:val="000000"/>
                <w:sz w:val="32"/>
                <w:szCs w:val="32"/>
                <w:lang w:eastAsia="zh-CN"/>
              </w:rPr>
            </w:pPr>
            <w:r>
              <w:rPr>
                <w:rFonts w:hint="eastAsia" w:ascii="宋体" w:hAnsi="宋体" w:eastAsia="宋体" w:cs="Times New Roman"/>
                <w:color w:val="000000"/>
                <w:sz w:val="21"/>
                <w:szCs w:val="21"/>
                <w:lang w:eastAsia="zh-CN"/>
              </w:rPr>
              <w:t>5.2 专业技能水平*</w:t>
            </w:r>
          </w:p>
        </w:tc>
        <w:tc>
          <w:tcPr>
            <w:tcW w:w="346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sz w:val="21"/>
                <w:szCs w:val="21"/>
              </w:rPr>
              <w:t>近三年，专业技能抽查考试合格率均为</w:t>
            </w:r>
            <w:r>
              <w:rPr>
                <w:rFonts w:hint="eastAsia" w:ascii="宋体" w:hAnsi="宋体" w:eastAsia="宋体" w:cs="宋体"/>
                <w:sz w:val="21"/>
                <w:szCs w:val="21"/>
                <w:lang w:val="en-US" w:eastAsia="zh-CN"/>
              </w:rPr>
              <w:t>90</w:t>
            </w:r>
            <w:r>
              <w:rPr>
                <w:rFonts w:hint="eastAsia" w:ascii="宋体" w:hAnsi="宋体" w:eastAsia="宋体" w:cs="宋体"/>
                <w:sz w:val="21"/>
                <w:szCs w:val="21"/>
              </w:rPr>
              <w:t>%</w:t>
            </w:r>
            <w:r>
              <w:rPr>
                <w:rFonts w:hint="eastAsia" w:ascii="宋体" w:hAnsi="宋体" w:eastAsia="宋体" w:cs="宋体"/>
                <w:sz w:val="21"/>
                <w:szCs w:val="21"/>
                <w:lang w:val="en-US" w:eastAsia="zh-CN"/>
              </w:rPr>
              <w:t>以上</w:t>
            </w:r>
            <w:r>
              <w:rPr>
                <w:rFonts w:hint="eastAsia" w:ascii="宋体" w:hAnsi="宋体" w:eastAsia="宋体" w:cs="宋体"/>
                <w:sz w:val="21"/>
                <w:szCs w:val="21"/>
              </w:rPr>
              <w:t>。</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A</w:t>
            </w:r>
          </w:p>
        </w:tc>
      </w:tr>
      <w:tr>
        <w:tblPrEx>
          <w:tblCellMar>
            <w:top w:w="0" w:type="dxa"/>
            <w:left w:w="0" w:type="dxa"/>
            <w:bottom w:w="0" w:type="dxa"/>
            <w:right w:w="0" w:type="dxa"/>
          </w:tblCellMar>
        </w:tblPrEx>
        <w:trPr>
          <w:trHeight w:val="1077" w:hRule="atLeast"/>
          <w:jc w:val="center"/>
        </w:trPr>
        <w:tc>
          <w:tcPr>
            <w:tcW w:w="1237" w:type="dxa"/>
            <w:vMerge w:val="continue"/>
            <w:tcBorders>
              <w:top w:val="nil"/>
              <w:left w:val="single" w:color="auto" w:sz="8" w:space="0"/>
              <w:bottom w:val="single" w:color="auto" w:sz="8" w:space="0"/>
              <w:right w:val="single" w:color="auto" w:sz="8" w:space="0"/>
            </w:tcBorders>
            <w:vAlign w:val="center"/>
          </w:tcPr>
          <w:p>
            <w:pPr>
              <w:widowControl/>
              <w:spacing w:line="240" w:lineRule="exact"/>
              <w:rPr>
                <w:rFonts w:ascii="Times New Roman" w:hAnsi="Times New Roman" w:eastAsia="宋体" w:cs="Times New Roman"/>
                <w:color w:val="000000"/>
                <w:sz w:val="32"/>
                <w:szCs w:val="32"/>
                <w:lang w:eastAsia="zh-CN"/>
              </w:rPr>
            </w:pPr>
          </w:p>
        </w:tc>
        <w:tc>
          <w:tcPr>
            <w:tcW w:w="30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ascii="Times New Roman" w:hAnsi="Times New Roman" w:eastAsia="宋体" w:cs="Times New Roman"/>
                <w:color w:val="000000"/>
                <w:sz w:val="32"/>
                <w:szCs w:val="32"/>
                <w:lang w:eastAsia="zh-CN"/>
              </w:rPr>
            </w:pPr>
            <w:r>
              <w:rPr>
                <w:rFonts w:hint="eastAsia" w:ascii="宋体" w:hAnsi="宋体" w:eastAsia="宋体" w:cs="Times New Roman"/>
                <w:color w:val="000000"/>
                <w:sz w:val="21"/>
                <w:szCs w:val="21"/>
                <w:lang w:eastAsia="zh-CN"/>
              </w:rPr>
              <w:t>5.3 身心素质*</w:t>
            </w:r>
          </w:p>
        </w:tc>
        <w:tc>
          <w:tcPr>
            <w:tcW w:w="346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sz w:val="21"/>
                <w:szCs w:val="21"/>
              </w:rPr>
              <w:t>近三年本专业学生体质健康标准合格率达到97%以上。</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A</w:t>
            </w:r>
          </w:p>
        </w:tc>
      </w:tr>
      <w:tr>
        <w:tblPrEx>
          <w:tblCellMar>
            <w:top w:w="0" w:type="dxa"/>
            <w:left w:w="0" w:type="dxa"/>
            <w:bottom w:w="0" w:type="dxa"/>
            <w:right w:w="0" w:type="dxa"/>
          </w:tblCellMar>
        </w:tblPrEx>
        <w:trPr>
          <w:trHeight w:val="1077" w:hRule="atLeast"/>
          <w:jc w:val="center"/>
        </w:trPr>
        <w:tc>
          <w:tcPr>
            <w:tcW w:w="1237" w:type="dxa"/>
            <w:vMerge w:val="continue"/>
            <w:tcBorders>
              <w:top w:val="nil"/>
              <w:left w:val="single" w:color="auto" w:sz="8" w:space="0"/>
              <w:bottom w:val="single" w:color="auto" w:sz="8" w:space="0"/>
              <w:right w:val="single" w:color="auto" w:sz="8" w:space="0"/>
            </w:tcBorders>
            <w:vAlign w:val="center"/>
          </w:tcPr>
          <w:p>
            <w:pPr>
              <w:widowControl/>
              <w:spacing w:line="240" w:lineRule="exact"/>
              <w:rPr>
                <w:rFonts w:ascii="Times New Roman" w:hAnsi="Times New Roman" w:eastAsia="宋体" w:cs="Times New Roman"/>
                <w:color w:val="000000"/>
                <w:sz w:val="32"/>
                <w:szCs w:val="32"/>
                <w:lang w:eastAsia="zh-CN"/>
              </w:rPr>
            </w:pPr>
          </w:p>
        </w:tc>
        <w:tc>
          <w:tcPr>
            <w:tcW w:w="30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ascii="Times New Roman" w:hAnsi="Times New Roman" w:eastAsia="宋体" w:cs="Times New Roman"/>
                <w:color w:val="000000"/>
                <w:sz w:val="32"/>
                <w:szCs w:val="32"/>
                <w:lang w:eastAsia="zh-CN"/>
              </w:rPr>
            </w:pPr>
            <w:r>
              <w:rPr>
                <w:rFonts w:hint="eastAsia" w:ascii="宋体" w:hAnsi="宋体" w:eastAsia="宋体" w:cs="Times New Roman"/>
                <w:color w:val="000000"/>
                <w:sz w:val="21"/>
                <w:szCs w:val="21"/>
                <w:lang w:eastAsia="zh-CN"/>
              </w:rPr>
              <w:t>5.4学生满意度</w:t>
            </w:r>
          </w:p>
        </w:tc>
        <w:tc>
          <w:tcPr>
            <w:tcW w:w="346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sz w:val="21"/>
                <w:szCs w:val="21"/>
              </w:rPr>
              <w:t>近三年本专业学生对本专业人才培养的满意度均达到了</w:t>
            </w:r>
            <w:r>
              <w:rPr>
                <w:rFonts w:hint="eastAsia" w:ascii="宋体" w:hAnsi="宋体" w:eastAsia="宋体" w:cs="宋体"/>
                <w:sz w:val="21"/>
                <w:szCs w:val="21"/>
                <w:lang w:val="en-US" w:eastAsia="zh-CN"/>
              </w:rPr>
              <w:t>95</w:t>
            </w:r>
            <w:r>
              <w:rPr>
                <w:rFonts w:hint="eastAsia" w:ascii="宋体" w:hAnsi="宋体" w:eastAsia="宋体" w:cs="宋体"/>
                <w:sz w:val="21"/>
                <w:szCs w:val="21"/>
              </w:rPr>
              <w:t>%。</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A</w:t>
            </w:r>
          </w:p>
        </w:tc>
      </w:tr>
      <w:tr>
        <w:tblPrEx>
          <w:tblCellMar>
            <w:top w:w="0" w:type="dxa"/>
            <w:left w:w="0" w:type="dxa"/>
            <w:bottom w:w="0" w:type="dxa"/>
            <w:right w:w="0" w:type="dxa"/>
          </w:tblCellMar>
        </w:tblPrEx>
        <w:trPr>
          <w:trHeight w:val="997" w:hRule="atLeast"/>
          <w:jc w:val="center"/>
        </w:trPr>
        <w:tc>
          <w:tcPr>
            <w:tcW w:w="1237" w:type="dxa"/>
            <w:vMerge w:val="continue"/>
            <w:tcBorders>
              <w:top w:val="nil"/>
              <w:left w:val="single" w:color="auto" w:sz="8" w:space="0"/>
              <w:bottom w:val="single" w:color="auto" w:sz="8" w:space="0"/>
              <w:right w:val="single" w:color="auto" w:sz="8" w:space="0"/>
            </w:tcBorders>
            <w:vAlign w:val="center"/>
          </w:tcPr>
          <w:p>
            <w:pPr>
              <w:widowControl/>
              <w:spacing w:line="240" w:lineRule="exact"/>
              <w:rPr>
                <w:rFonts w:ascii="Times New Roman" w:hAnsi="Times New Roman" w:eastAsia="宋体" w:cs="Times New Roman"/>
                <w:color w:val="000000"/>
                <w:sz w:val="32"/>
                <w:szCs w:val="32"/>
                <w:lang w:eastAsia="zh-CN"/>
              </w:rPr>
            </w:pPr>
          </w:p>
        </w:tc>
        <w:tc>
          <w:tcPr>
            <w:tcW w:w="30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ascii="Times New Roman" w:hAnsi="Times New Roman" w:eastAsia="宋体" w:cs="Times New Roman"/>
                <w:color w:val="000000"/>
                <w:sz w:val="32"/>
                <w:szCs w:val="32"/>
                <w:lang w:eastAsia="zh-CN"/>
              </w:rPr>
            </w:pPr>
            <w:r>
              <w:rPr>
                <w:rFonts w:hint="eastAsia" w:ascii="宋体" w:hAnsi="宋体" w:eastAsia="宋体" w:cs="Times New Roman"/>
                <w:color w:val="000000"/>
                <w:sz w:val="21"/>
                <w:szCs w:val="21"/>
                <w:lang w:eastAsia="zh-CN"/>
              </w:rPr>
              <w:t>5.5 专业招生</w:t>
            </w:r>
          </w:p>
        </w:tc>
        <w:tc>
          <w:tcPr>
            <w:tcW w:w="346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sz w:val="21"/>
                <w:szCs w:val="21"/>
              </w:rPr>
              <w:t>招收全日制学生19级1</w:t>
            </w:r>
            <w:r>
              <w:rPr>
                <w:rFonts w:hint="eastAsia" w:ascii="宋体" w:hAnsi="宋体" w:eastAsia="宋体" w:cs="宋体"/>
                <w:sz w:val="21"/>
                <w:szCs w:val="21"/>
                <w:lang w:val="en-US" w:eastAsia="zh-CN"/>
              </w:rPr>
              <w:t>10</w:t>
            </w:r>
            <w:r>
              <w:rPr>
                <w:rFonts w:hint="eastAsia" w:ascii="宋体" w:hAnsi="宋体" w:eastAsia="宋体" w:cs="宋体"/>
                <w:sz w:val="21"/>
                <w:szCs w:val="21"/>
              </w:rPr>
              <w:t>人，20级</w:t>
            </w:r>
            <w:r>
              <w:rPr>
                <w:rFonts w:hint="eastAsia" w:ascii="宋体" w:hAnsi="宋体" w:eastAsia="宋体" w:cs="宋体"/>
                <w:sz w:val="21"/>
                <w:szCs w:val="21"/>
                <w:lang w:val="en-US" w:eastAsia="zh-CN"/>
              </w:rPr>
              <w:t>91</w:t>
            </w:r>
            <w:r>
              <w:rPr>
                <w:rFonts w:hint="eastAsia" w:ascii="宋体" w:hAnsi="宋体" w:eastAsia="宋体" w:cs="宋体"/>
                <w:sz w:val="21"/>
                <w:szCs w:val="21"/>
              </w:rPr>
              <w:t>人</w:t>
            </w:r>
            <w:r>
              <w:rPr>
                <w:rFonts w:hint="eastAsia" w:ascii="宋体" w:hAnsi="宋体" w:eastAsia="宋体" w:cs="宋体"/>
                <w:sz w:val="21"/>
                <w:szCs w:val="21"/>
                <w:lang w:eastAsia="zh-CN"/>
              </w:rPr>
              <w:t>，</w:t>
            </w:r>
            <w:r>
              <w:rPr>
                <w:rFonts w:hint="eastAsia" w:ascii="宋体" w:hAnsi="宋体" w:eastAsia="宋体" w:cs="宋体"/>
                <w:sz w:val="21"/>
                <w:szCs w:val="21"/>
              </w:rPr>
              <w:t>21级2</w:t>
            </w:r>
            <w:r>
              <w:rPr>
                <w:rFonts w:hint="eastAsia" w:ascii="宋体" w:hAnsi="宋体" w:eastAsia="宋体" w:cs="宋体"/>
                <w:sz w:val="21"/>
                <w:szCs w:val="21"/>
                <w:lang w:val="en-US" w:eastAsia="zh-CN"/>
              </w:rPr>
              <w:t>03</w:t>
            </w:r>
            <w:r>
              <w:rPr>
                <w:rFonts w:hint="eastAsia" w:ascii="宋体" w:hAnsi="宋体" w:eastAsia="宋体" w:cs="宋体"/>
                <w:sz w:val="21"/>
                <w:szCs w:val="21"/>
              </w:rPr>
              <w:t>人。</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A</w:t>
            </w:r>
          </w:p>
        </w:tc>
      </w:tr>
      <w:tr>
        <w:tblPrEx>
          <w:tblCellMar>
            <w:top w:w="0" w:type="dxa"/>
            <w:left w:w="0" w:type="dxa"/>
            <w:bottom w:w="0" w:type="dxa"/>
            <w:right w:w="0" w:type="dxa"/>
          </w:tblCellMar>
        </w:tblPrEx>
        <w:trPr>
          <w:trHeight w:val="1077" w:hRule="atLeast"/>
          <w:jc w:val="center"/>
        </w:trPr>
        <w:tc>
          <w:tcPr>
            <w:tcW w:w="1237" w:type="dxa"/>
            <w:vMerge w:val="restart"/>
            <w:tcBorders>
              <w:top w:val="nil"/>
              <w:left w:val="single" w:color="auto" w:sz="8" w:space="0"/>
              <w:bottom w:val="single" w:color="auto" w:sz="8" w:space="0"/>
              <w:right w:val="single" w:color="auto" w:sz="8" w:space="0"/>
            </w:tcBorders>
            <w:vAlign w:val="center"/>
          </w:tcPr>
          <w:p>
            <w:pPr>
              <w:widowControl/>
              <w:spacing w:line="240" w:lineRule="exact"/>
              <w:rPr>
                <w:rFonts w:ascii="宋体" w:hAnsi="宋体" w:eastAsia="宋体" w:cs="Times New Roman"/>
                <w:sz w:val="21"/>
                <w:szCs w:val="21"/>
                <w:lang w:eastAsia="zh-CN"/>
              </w:rPr>
            </w:pPr>
            <w:r>
              <w:rPr>
                <w:rFonts w:hint="eastAsia" w:ascii="宋体" w:hAnsi="宋体" w:eastAsia="宋体" w:cs="Times New Roman"/>
                <w:sz w:val="21"/>
                <w:szCs w:val="21"/>
                <w:lang w:eastAsia="zh-CN"/>
              </w:rPr>
              <w:t>6.产</w:t>
            </w:r>
            <w:r>
              <w:rPr>
                <w:rFonts w:ascii="宋体" w:hAnsi="宋体" w:eastAsia="宋体" w:cs="Times New Roman"/>
                <w:sz w:val="21"/>
                <w:szCs w:val="21"/>
                <w:lang w:eastAsia="zh-CN"/>
              </w:rPr>
              <w:t>教融合</w:t>
            </w:r>
          </w:p>
        </w:tc>
        <w:tc>
          <w:tcPr>
            <w:tcW w:w="30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ascii="宋体" w:hAnsi="宋体" w:eastAsia="宋体" w:cs="Times New Roman"/>
                <w:color w:val="000000"/>
                <w:sz w:val="21"/>
                <w:szCs w:val="21"/>
                <w:lang w:eastAsia="zh-CN"/>
              </w:rPr>
            </w:pPr>
            <w:r>
              <w:rPr>
                <w:rFonts w:hint="eastAsia" w:ascii="宋体" w:hAnsi="宋体" w:eastAsia="宋体" w:cs="Times New Roman"/>
                <w:color w:val="000000"/>
                <w:sz w:val="21"/>
                <w:szCs w:val="21"/>
                <w:lang w:eastAsia="zh-CN"/>
              </w:rPr>
              <w:t>6.1专</w:t>
            </w:r>
            <w:r>
              <w:rPr>
                <w:rFonts w:ascii="宋体" w:hAnsi="宋体" w:eastAsia="宋体" w:cs="Times New Roman"/>
                <w:color w:val="000000"/>
                <w:sz w:val="21"/>
                <w:szCs w:val="21"/>
                <w:lang w:eastAsia="zh-CN"/>
              </w:rPr>
              <w:t>业教师</w:t>
            </w:r>
            <w:r>
              <w:rPr>
                <w:rFonts w:hint="eastAsia" w:ascii="宋体" w:hAnsi="宋体" w:eastAsia="宋体" w:cs="Times New Roman"/>
                <w:color w:val="000000"/>
                <w:sz w:val="21"/>
                <w:szCs w:val="21"/>
                <w:lang w:eastAsia="zh-CN"/>
              </w:rPr>
              <w:t>开</w:t>
            </w:r>
            <w:r>
              <w:rPr>
                <w:rFonts w:ascii="宋体" w:hAnsi="宋体" w:eastAsia="宋体" w:cs="Times New Roman"/>
                <w:color w:val="000000"/>
                <w:sz w:val="21"/>
                <w:szCs w:val="21"/>
                <w:lang w:eastAsia="zh-CN"/>
              </w:rPr>
              <w:t>展</w:t>
            </w:r>
            <w:r>
              <w:rPr>
                <w:rFonts w:hint="eastAsia" w:ascii="宋体" w:hAnsi="宋体" w:eastAsia="宋体" w:cs="Times New Roman"/>
                <w:color w:val="000000"/>
                <w:sz w:val="21"/>
                <w:szCs w:val="21"/>
                <w:lang w:eastAsia="zh-CN"/>
              </w:rPr>
              <w:t>技术</w:t>
            </w:r>
            <w:r>
              <w:rPr>
                <w:rFonts w:ascii="宋体" w:hAnsi="宋体" w:eastAsia="宋体" w:cs="Times New Roman"/>
                <w:color w:val="000000"/>
                <w:sz w:val="21"/>
                <w:szCs w:val="21"/>
                <w:lang w:eastAsia="zh-CN"/>
              </w:rPr>
              <w:t>服务</w:t>
            </w:r>
            <w:r>
              <w:rPr>
                <w:rFonts w:hint="eastAsia" w:ascii="宋体" w:hAnsi="宋体" w:eastAsia="宋体" w:cs="Times New Roman"/>
                <w:color w:val="000000"/>
                <w:sz w:val="21"/>
                <w:szCs w:val="21"/>
                <w:lang w:eastAsia="zh-CN"/>
              </w:rPr>
              <w:t>及</w:t>
            </w:r>
            <w:r>
              <w:rPr>
                <w:rFonts w:ascii="宋体" w:hAnsi="宋体" w:eastAsia="宋体" w:cs="Times New Roman"/>
                <w:color w:val="000000"/>
                <w:sz w:val="21"/>
                <w:szCs w:val="21"/>
                <w:lang w:eastAsia="zh-CN"/>
              </w:rPr>
              <w:t>各类培训</w:t>
            </w:r>
            <w:r>
              <w:rPr>
                <w:rFonts w:hint="eastAsia" w:ascii="宋体" w:hAnsi="宋体" w:eastAsia="宋体" w:cs="Times New Roman"/>
                <w:color w:val="000000"/>
                <w:sz w:val="21"/>
                <w:szCs w:val="21"/>
                <w:lang w:eastAsia="zh-CN"/>
              </w:rPr>
              <w:t>情况*</w:t>
            </w:r>
          </w:p>
        </w:tc>
        <w:tc>
          <w:tcPr>
            <w:tcW w:w="346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sz w:val="21"/>
                <w:szCs w:val="21"/>
              </w:rPr>
              <w:t>近三年来，开展初级</w:t>
            </w:r>
            <w:r>
              <w:rPr>
                <w:rFonts w:hint="eastAsia" w:ascii="宋体" w:hAnsi="宋体" w:eastAsia="宋体" w:cs="宋体"/>
                <w:sz w:val="21"/>
                <w:szCs w:val="21"/>
                <w:lang w:val="en-US" w:eastAsia="zh-CN"/>
              </w:rPr>
              <w:t>汽车维修工</w:t>
            </w:r>
            <w:r>
              <w:rPr>
                <w:rFonts w:hint="eastAsia" w:ascii="宋体" w:hAnsi="宋体" w:eastAsia="宋体" w:cs="宋体"/>
                <w:sz w:val="21"/>
                <w:szCs w:val="21"/>
              </w:rPr>
              <w:t>培训以及</w:t>
            </w:r>
            <w:r>
              <w:rPr>
                <w:rFonts w:hint="eastAsia" w:ascii="宋体" w:hAnsi="宋体" w:eastAsia="宋体" w:cs="宋体"/>
                <w:sz w:val="21"/>
                <w:szCs w:val="21"/>
                <w:lang w:val="en-US" w:eastAsia="zh-CN"/>
              </w:rPr>
              <w:t>校内汽车维修保养</w:t>
            </w:r>
            <w:r>
              <w:rPr>
                <w:rFonts w:hint="eastAsia" w:ascii="宋体" w:hAnsi="宋体" w:eastAsia="宋体" w:cs="宋体"/>
                <w:sz w:val="21"/>
                <w:szCs w:val="21"/>
              </w:rPr>
              <w:t>活动。</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A</w:t>
            </w:r>
          </w:p>
        </w:tc>
      </w:tr>
      <w:tr>
        <w:tblPrEx>
          <w:tblCellMar>
            <w:top w:w="0" w:type="dxa"/>
            <w:left w:w="0" w:type="dxa"/>
            <w:bottom w:w="0" w:type="dxa"/>
            <w:right w:w="0" w:type="dxa"/>
          </w:tblCellMar>
        </w:tblPrEx>
        <w:trPr>
          <w:trHeight w:val="1077" w:hRule="atLeast"/>
          <w:jc w:val="center"/>
        </w:trPr>
        <w:tc>
          <w:tcPr>
            <w:tcW w:w="1237" w:type="dxa"/>
            <w:vMerge w:val="continue"/>
            <w:tcBorders>
              <w:top w:val="nil"/>
              <w:left w:val="single" w:color="auto" w:sz="8" w:space="0"/>
              <w:bottom w:val="single" w:color="auto" w:sz="8" w:space="0"/>
              <w:right w:val="single" w:color="auto" w:sz="8" w:space="0"/>
            </w:tcBorders>
            <w:vAlign w:val="center"/>
          </w:tcPr>
          <w:p>
            <w:pPr>
              <w:widowControl/>
              <w:spacing w:line="240" w:lineRule="exact"/>
              <w:rPr>
                <w:rFonts w:ascii="宋体" w:hAnsi="宋体" w:eastAsia="宋体" w:cs="Times New Roman"/>
                <w:sz w:val="21"/>
                <w:szCs w:val="21"/>
                <w:lang w:eastAsia="zh-CN"/>
              </w:rPr>
            </w:pPr>
          </w:p>
        </w:tc>
        <w:tc>
          <w:tcPr>
            <w:tcW w:w="30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ascii="宋体" w:hAnsi="宋体" w:eastAsia="宋体" w:cs="Times New Roman"/>
                <w:color w:val="000000"/>
                <w:sz w:val="21"/>
                <w:szCs w:val="21"/>
                <w:lang w:eastAsia="zh-CN"/>
              </w:rPr>
            </w:pPr>
            <w:r>
              <w:rPr>
                <w:rFonts w:hint="eastAsia" w:ascii="宋体" w:hAnsi="宋体" w:eastAsia="宋体" w:cs="Times New Roman"/>
                <w:color w:val="000000"/>
                <w:sz w:val="21"/>
                <w:szCs w:val="21"/>
                <w:lang w:eastAsia="zh-CN"/>
              </w:rPr>
              <w:t>6.2合作</w:t>
            </w:r>
            <w:r>
              <w:rPr>
                <w:rFonts w:ascii="宋体" w:hAnsi="宋体" w:eastAsia="宋体" w:cs="Times New Roman"/>
                <w:color w:val="000000"/>
                <w:sz w:val="21"/>
                <w:szCs w:val="21"/>
                <w:lang w:eastAsia="zh-CN"/>
              </w:rPr>
              <w:t>企业</w:t>
            </w:r>
            <w:r>
              <w:rPr>
                <w:rFonts w:hint="eastAsia" w:ascii="宋体" w:hAnsi="宋体" w:eastAsia="宋体" w:cs="Times New Roman"/>
                <w:color w:val="000000"/>
                <w:sz w:val="21"/>
                <w:szCs w:val="21"/>
                <w:lang w:eastAsia="zh-CN"/>
              </w:rPr>
              <w:t>接收</w:t>
            </w:r>
            <w:r>
              <w:rPr>
                <w:rFonts w:ascii="宋体" w:hAnsi="宋体" w:eastAsia="宋体" w:cs="Times New Roman"/>
                <w:color w:val="000000"/>
                <w:sz w:val="21"/>
                <w:szCs w:val="21"/>
                <w:lang w:eastAsia="zh-CN"/>
              </w:rPr>
              <w:t>实习人数及留用比</w:t>
            </w:r>
          </w:p>
        </w:tc>
        <w:tc>
          <w:tcPr>
            <w:tcW w:w="346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sz w:val="21"/>
                <w:szCs w:val="21"/>
              </w:rPr>
              <w:t>近三年本专业合作企业接受顶岗实习生数达到在校生人数的90%，留用比例在60%以上。</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A</w:t>
            </w:r>
          </w:p>
        </w:tc>
      </w:tr>
      <w:tr>
        <w:tblPrEx>
          <w:tblCellMar>
            <w:top w:w="0" w:type="dxa"/>
            <w:left w:w="0" w:type="dxa"/>
            <w:bottom w:w="0" w:type="dxa"/>
            <w:right w:w="0" w:type="dxa"/>
          </w:tblCellMar>
        </w:tblPrEx>
        <w:trPr>
          <w:trHeight w:val="1077" w:hRule="atLeast"/>
          <w:jc w:val="center"/>
        </w:trPr>
        <w:tc>
          <w:tcPr>
            <w:tcW w:w="1237" w:type="dxa"/>
            <w:vMerge w:val="continue"/>
            <w:tcBorders>
              <w:top w:val="nil"/>
              <w:left w:val="single" w:color="auto" w:sz="8" w:space="0"/>
              <w:bottom w:val="single" w:color="auto" w:sz="8" w:space="0"/>
              <w:right w:val="single" w:color="auto" w:sz="8" w:space="0"/>
            </w:tcBorders>
            <w:vAlign w:val="center"/>
          </w:tcPr>
          <w:p>
            <w:pPr>
              <w:widowControl/>
              <w:spacing w:line="240" w:lineRule="exact"/>
              <w:rPr>
                <w:rFonts w:ascii="宋体" w:hAnsi="宋体" w:eastAsia="宋体" w:cs="Times New Roman"/>
                <w:sz w:val="21"/>
                <w:szCs w:val="21"/>
                <w:lang w:eastAsia="zh-CN"/>
              </w:rPr>
            </w:pPr>
          </w:p>
        </w:tc>
        <w:tc>
          <w:tcPr>
            <w:tcW w:w="30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ascii="宋体" w:hAnsi="宋体" w:eastAsia="宋体" w:cs="Times New Roman"/>
                <w:color w:val="000000"/>
                <w:sz w:val="21"/>
                <w:szCs w:val="21"/>
                <w:lang w:eastAsia="zh-CN"/>
              </w:rPr>
            </w:pPr>
            <w:r>
              <w:rPr>
                <w:rFonts w:hint="eastAsia" w:ascii="宋体" w:hAnsi="宋体" w:eastAsia="宋体" w:cs="Times New Roman"/>
                <w:color w:val="000000"/>
                <w:sz w:val="21"/>
                <w:szCs w:val="21"/>
                <w:lang w:eastAsia="zh-CN"/>
              </w:rPr>
              <w:t>6.3生</w:t>
            </w:r>
            <w:r>
              <w:rPr>
                <w:rFonts w:ascii="宋体" w:hAnsi="宋体" w:eastAsia="宋体" w:cs="Times New Roman"/>
                <w:color w:val="000000"/>
                <w:sz w:val="21"/>
                <w:szCs w:val="21"/>
                <w:lang w:eastAsia="zh-CN"/>
              </w:rPr>
              <w:t>均共建共享生产性实训基地工位数</w:t>
            </w:r>
          </w:p>
        </w:tc>
        <w:tc>
          <w:tcPr>
            <w:tcW w:w="346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sz w:val="21"/>
                <w:szCs w:val="21"/>
              </w:rPr>
              <w:t>近三年本专业校企共建共享生产性实训基地供学生使用的工位数达到</w:t>
            </w:r>
            <w:r>
              <w:rPr>
                <w:rFonts w:hint="eastAsia" w:ascii="宋体" w:hAnsi="宋体" w:eastAsia="宋体" w:cs="宋体"/>
                <w:sz w:val="21"/>
                <w:szCs w:val="21"/>
                <w:lang w:val="en-US" w:eastAsia="zh-CN"/>
              </w:rPr>
              <w:t>100以上</w:t>
            </w:r>
            <w:r>
              <w:rPr>
                <w:rFonts w:hint="eastAsia" w:ascii="宋体" w:hAnsi="宋体" w:eastAsia="宋体" w:cs="宋体"/>
                <w:sz w:val="21"/>
                <w:szCs w:val="21"/>
              </w:rPr>
              <w:t>。</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A</w:t>
            </w:r>
          </w:p>
        </w:tc>
      </w:tr>
      <w:tr>
        <w:tblPrEx>
          <w:tblCellMar>
            <w:top w:w="0" w:type="dxa"/>
            <w:left w:w="0" w:type="dxa"/>
            <w:bottom w:w="0" w:type="dxa"/>
            <w:right w:w="0" w:type="dxa"/>
          </w:tblCellMar>
        </w:tblPrEx>
        <w:trPr>
          <w:trHeight w:val="932" w:hRule="atLeast"/>
          <w:jc w:val="center"/>
        </w:trPr>
        <w:tc>
          <w:tcPr>
            <w:tcW w:w="1237" w:type="dxa"/>
            <w:tcBorders>
              <w:top w:val="nil"/>
              <w:left w:val="single" w:color="auto" w:sz="8" w:space="0"/>
              <w:bottom w:val="single" w:color="auto" w:sz="8" w:space="0"/>
              <w:right w:val="single" w:color="auto" w:sz="8" w:space="0"/>
            </w:tcBorders>
            <w:vAlign w:val="center"/>
          </w:tcPr>
          <w:p>
            <w:pPr>
              <w:widowControl/>
              <w:spacing w:line="240" w:lineRule="exact"/>
              <w:rPr>
                <w:rFonts w:ascii="Times New Roman" w:hAnsi="Times New Roman" w:eastAsia="宋体" w:cs="Times New Roman"/>
                <w:sz w:val="32"/>
                <w:szCs w:val="32"/>
                <w:lang w:eastAsia="zh-CN"/>
              </w:rPr>
            </w:pPr>
            <w:r>
              <w:rPr>
                <w:rFonts w:hint="eastAsia" w:ascii="宋体" w:hAnsi="宋体" w:eastAsia="宋体" w:cs="Times New Roman"/>
                <w:sz w:val="21"/>
                <w:szCs w:val="21"/>
                <w:lang w:eastAsia="zh-CN"/>
              </w:rPr>
              <w:t>7.特色创新</w:t>
            </w:r>
          </w:p>
        </w:tc>
        <w:tc>
          <w:tcPr>
            <w:tcW w:w="30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rPr>
                <w:rFonts w:ascii="宋体" w:hAnsi="宋体" w:eastAsia="宋体" w:cs="Times New Roman"/>
                <w:color w:val="000000"/>
                <w:sz w:val="21"/>
                <w:szCs w:val="21"/>
                <w:lang w:eastAsia="zh-CN"/>
              </w:rPr>
            </w:pPr>
            <w:r>
              <w:rPr>
                <w:rFonts w:hint="eastAsia" w:ascii="宋体" w:hAnsi="宋体" w:eastAsia="宋体" w:cs="Times New Roman"/>
                <w:color w:val="000000"/>
                <w:sz w:val="21"/>
                <w:szCs w:val="21"/>
                <w:lang w:eastAsia="zh-CN"/>
              </w:rPr>
              <w:t>7.</w:t>
            </w:r>
            <w:r>
              <w:rPr>
                <w:rFonts w:ascii="宋体" w:hAnsi="宋体" w:eastAsia="宋体" w:cs="Times New Roman"/>
                <w:color w:val="000000"/>
                <w:sz w:val="21"/>
                <w:szCs w:val="21"/>
                <w:lang w:eastAsia="zh-CN"/>
              </w:rPr>
              <w:t>1</w:t>
            </w:r>
            <w:r>
              <w:rPr>
                <w:rFonts w:hint="eastAsia" w:ascii="宋体" w:hAnsi="宋体" w:eastAsia="宋体" w:cs="Times New Roman"/>
                <w:color w:val="000000"/>
                <w:sz w:val="21"/>
                <w:szCs w:val="21"/>
                <w:lang w:eastAsia="zh-CN"/>
              </w:rPr>
              <w:t>专</w:t>
            </w:r>
            <w:r>
              <w:rPr>
                <w:rFonts w:ascii="宋体" w:hAnsi="宋体" w:eastAsia="宋体" w:cs="Times New Roman"/>
                <w:color w:val="000000"/>
                <w:sz w:val="21"/>
                <w:szCs w:val="21"/>
                <w:lang w:eastAsia="zh-CN"/>
              </w:rPr>
              <w:t>业建设成果</w:t>
            </w:r>
            <w:r>
              <w:rPr>
                <w:rFonts w:hint="eastAsia" w:ascii="宋体" w:hAnsi="宋体" w:eastAsia="宋体" w:cs="Times New Roman"/>
                <w:color w:val="000000"/>
                <w:sz w:val="21"/>
                <w:szCs w:val="21"/>
                <w:lang w:eastAsia="zh-CN"/>
              </w:rPr>
              <w:t>*</w:t>
            </w:r>
          </w:p>
        </w:tc>
        <w:tc>
          <w:tcPr>
            <w:tcW w:w="346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sz w:val="21"/>
                <w:szCs w:val="21"/>
              </w:rPr>
              <w:t>专业教师成果：</w:t>
            </w:r>
            <w:r>
              <w:rPr>
                <w:rFonts w:hint="eastAsia" w:ascii="宋体" w:hAnsi="宋体" w:eastAsia="宋体" w:cs="宋体"/>
                <w:sz w:val="21"/>
                <w:szCs w:val="21"/>
                <w:lang w:val="en-US" w:eastAsia="zh-CN"/>
              </w:rPr>
              <w:t>雷旺来</w:t>
            </w:r>
            <w:r>
              <w:rPr>
                <w:rFonts w:hint="eastAsia" w:ascii="宋体" w:hAnsi="宋体" w:eastAsia="宋体" w:cs="宋体"/>
                <w:sz w:val="21"/>
                <w:szCs w:val="21"/>
              </w:rPr>
              <w:t>老师指导学生参加</w:t>
            </w:r>
            <w:r>
              <w:rPr>
                <w:rFonts w:hint="eastAsia" w:ascii="宋体" w:hAnsi="宋体" w:eastAsia="宋体" w:cs="宋体"/>
                <w:sz w:val="21"/>
                <w:szCs w:val="21"/>
                <w:lang w:val="en-US" w:eastAsia="zh-CN"/>
              </w:rPr>
              <w:t>省</w:t>
            </w:r>
            <w:r>
              <w:rPr>
                <w:rFonts w:hint="eastAsia" w:ascii="宋体" w:hAnsi="宋体" w:eastAsia="宋体" w:cs="宋体"/>
                <w:sz w:val="21"/>
                <w:szCs w:val="21"/>
              </w:rPr>
              <w:t>技能大赛获得</w:t>
            </w:r>
            <w:r>
              <w:rPr>
                <w:rFonts w:hint="eastAsia" w:ascii="宋体" w:hAnsi="宋体" w:eastAsia="宋体" w:cs="宋体"/>
                <w:sz w:val="21"/>
                <w:szCs w:val="21"/>
                <w:lang w:val="en-US" w:eastAsia="zh-CN"/>
              </w:rPr>
              <w:t>市级</w:t>
            </w:r>
            <w:r>
              <w:rPr>
                <w:rFonts w:hint="eastAsia" w:ascii="宋体" w:hAnsi="宋体" w:eastAsia="宋体" w:cs="宋体"/>
                <w:sz w:val="21"/>
                <w:szCs w:val="21"/>
              </w:rPr>
              <w:t>二等奖。</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rPr>
              <w:t>A</w:t>
            </w:r>
          </w:p>
        </w:tc>
      </w:tr>
    </w:tbl>
    <w:p/>
    <w:sectPr>
      <w:pgSz w:w="11910" w:h="16840"/>
      <w:pgMar w:top="1440" w:right="1587" w:bottom="1440" w:left="1587" w:header="850"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0000000000000000000"/>
    <w:charset w:val="86"/>
    <w:family w:val="roma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2C"/>
    <w:rsid w:val="00035404"/>
    <w:rsid w:val="00F7072C"/>
    <w:rsid w:val="162F5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heme="minorHAnsi" w:hAnsiTheme="minorHAnsi" w:eastAsiaTheme="minorEastAsia" w:cstheme="minorBidi"/>
      <w:kern w:val="0"/>
      <w:sz w:val="22"/>
      <w:szCs w:val="22"/>
      <w:lang w:val="en-US" w:eastAsia="en-US"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3">
    <w:name w:val="Body Text"/>
    <w:basedOn w:val="1"/>
    <w:link w:val="7"/>
    <w:qFormat/>
    <w:uiPriority w:val="1"/>
    <w:pPr>
      <w:ind w:left="730"/>
    </w:pPr>
    <w:rPr>
      <w:rFonts w:ascii="宋体" w:hAnsi="宋体" w:eastAsia="宋体"/>
      <w:sz w:val="32"/>
      <w:szCs w:val="32"/>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正文文本 Char"/>
    <w:basedOn w:val="6"/>
    <w:link w:val="3"/>
    <w:uiPriority w:val="1"/>
    <w:rPr>
      <w:rFonts w:ascii="宋体" w:hAnsi="宋体" w:eastAsia="宋体"/>
      <w:kern w:val="0"/>
      <w:sz w:val="32"/>
      <w:szCs w:val="3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1195</Words>
  <Characters>1294</Characters>
  <Lines>9</Lines>
  <Paragraphs>2</Paragraphs>
  <TotalTime>3</TotalTime>
  <ScaleCrop>false</ScaleCrop>
  <LinksUpToDate>false</LinksUpToDate>
  <CharactersWithSpaces>1382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2022-03-14T01:32:00Z</dcterms:created>
  <dc:creator>Administrator</dc:creator>
  <cp:lastModifiedBy>曹健 SuperJack</cp:lastModifiedBy>
  <dcterms:modified xsi:type="dcterms:W3CDTF">2022-03-14T12:55:34Z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C17230935E374EBC9DAA922A2DCFA608</vt:lpwstr>
  </property>
</Properties>
</file>