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ascii="仿宋_GB2312" w:hAnsi="仿宋_GB2312" w:eastAsia="仿宋_GB2312" w:cs="仿宋_GB2312"/>
          <w:bCs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件3</w:t>
      </w:r>
    </w:p>
    <w:p>
      <w:pPr>
        <w:widowControl/>
        <w:shd w:val="clear" w:color="auto" w:fill="FFFFFF"/>
        <w:spacing w:after="227"/>
        <w:jc w:val="center"/>
        <w:rPr>
          <w:rFonts w:ascii="方正小标宋简体" w:hAnsi="Times New Roman" w:eastAsia="方正小标宋简体" w:cs="Times New Roman"/>
          <w:color w:val="000000"/>
          <w:sz w:val="48"/>
          <w:szCs w:val="48"/>
          <w:lang w:eastAsia="zh-CN"/>
        </w:rPr>
      </w:pPr>
      <w:bookmarkStart w:id="0" w:name="_Hlk88644049"/>
      <w:bookmarkStart w:id="1" w:name="_Hlk88646884"/>
    </w:p>
    <w:p>
      <w:pPr>
        <w:widowControl/>
        <w:shd w:val="clear" w:color="auto" w:fill="FFFFFF"/>
        <w:spacing w:after="227"/>
        <w:jc w:val="center"/>
        <w:rPr>
          <w:rFonts w:ascii="Times New Roman" w:hAnsi="Times New Roman" w:eastAsia="微软雅黑" w:cs="Times New Roman"/>
          <w:color w:val="000000"/>
          <w:sz w:val="32"/>
          <w:szCs w:val="32"/>
          <w:lang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8"/>
          <w:szCs w:val="48"/>
          <w:lang w:eastAsia="zh-CN"/>
        </w:rPr>
        <w:t>郴</w:t>
      </w:r>
      <w:r>
        <w:rPr>
          <w:rFonts w:ascii="方正小标宋简体" w:hAnsi="Times New Roman" w:eastAsia="方正小标宋简体" w:cs="Times New Roman"/>
          <w:color w:val="000000"/>
          <w:sz w:val="48"/>
          <w:szCs w:val="48"/>
          <w:lang w:eastAsia="zh-CN"/>
        </w:rPr>
        <w:t>州市</w:t>
      </w:r>
      <w:r>
        <w:rPr>
          <w:rFonts w:hint="eastAsia" w:ascii="方正小标宋简体" w:hAnsi="Times New Roman" w:eastAsia="方正小标宋简体" w:cs="Times New Roman"/>
          <w:color w:val="000000"/>
          <w:sz w:val="48"/>
          <w:szCs w:val="48"/>
          <w:lang w:eastAsia="zh-CN"/>
        </w:rPr>
        <w:t>中</w:t>
      </w:r>
      <w:r>
        <w:rPr>
          <w:rFonts w:ascii="方正小标宋简体" w:hAnsi="Times New Roman" w:eastAsia="方正小标宋简体" w:cs="Times New Roman"/>
          <w:color w:val="000000"/>
          <w:sz w:val="48"/>
          <w:szCs w:val="48"/>
          <w:lang w:eastAsia="zh-CN"/>
        </w:rPr>
        <w:t>等职业学校</w:t>
      </w:r>
      <w:r>
        <w:rPr>
          <w:rFonts w:hint="eastAsia" w:ascii="方正小标宋简体" w:hAnsi="Times New Roman" w:eastAsia="方正小标宋简体" w:cs="Times New Roman"/>
          <w:color w:val="000000"/>
          <w:sz w:val="48"/>
          <w:szCs w:val="48"/>
          <w:lang w:eastAsia="zh-CN"/>
        </w:rPr>
        <w:t>专业办学水平合格性评价自评表</w:t>
      </w:r>
      <w:bookmarkEnd w:id="0"/>
    </w:p>
    <w:bookmarkEnd w:id="1"/>
    <w:p>
      <w:pPr>
        <w:widowControl/>
        <w:shd w:val="clear" w:color="auto" w:fill="FFFFFF"/>
        <w:spacing w:line="480" w:lineRule="atLeast"/>
        <w:ind w:firstLine="695"/>
        <w:jc w:val="both"/>
        <w:rPr>
          <w:rFonts w:hint="eastAsia" w:ascii="微软雅黑" w:hAnsi="微软雅黑" w:eastAsia="微软雅黑" w:cs="Times New Roman"/>
          <w:color w:val="0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Times New Roman"/>
          <w:color w:val="000000"/>
          <w:sz w:val="36"/>
          <w:szCs w:val="36"/>
          <w:lang w:eastAsia="zh-CN"/>
        </w:rPr>
        <w:t> </w:t>
      </w:r>
    </w:p>
    <w:p>
      <w:pPr>
        <w:widowControl/>
        <w:shd w:val="clear" w:color="auto" w:fill="FFFFFF"/>
        <w:spacing w:line="480" w:lineRule="atLeast"/>
        <w:ind w:firstLine="695"/>
        <w:jc w:val="both"/>
        <w:rPr>
          <w:rFonts w:hint="eastAsia" w:ascii="微软雅黑" w:hAnsi="微软雅黑" w:eastAsia="微软雅黑" w:cs="Times New Roman"/>
          <w:color w:val="00000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tLeast"/>
        <w:ind w:firstLine="695"/>
        <w:jc w:val="both"/>
        <w:rPr>
          <w:rFonts w:hint="eastAsia" w:ascii="微软雅黑" w:hAnsi="微软雅黑" w:eastAsia="微软雅黑" w:cs="Times New Roman"/>
          <w:color w:val="0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Times New Roman"/>
          <w:color w:val="000000"/>
          <w:sz w:val="36"/>
          <w:szCs w:val="36"/>
          <w:lang w:eastAsia="zh-CN"/>
        </w:rPr>
        <w:t> </w:t>
      </w:r>
    </w:p>
    <w:p>
      <w:pPr>
        <w:widowControl/>
        <w:shd w:val="clear" w:color="auto" w:fill="FFFFFF"/>
        <w:spacing w:line="480" w:lineRule="atLeast"/>
        <w:ind w:firstLine="1080" w:firstLineChars="300"/>
        <w:jc w:val="both"/>
        <w:rPr>
          <w:rFonts w:hint="default" w:ascii="Times New Roman" w:hAnsi="Times New Roman" w:eastAsia="微软雅黑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36"/>
          <w:szCs w:val="36"/>
          <w:lang w:eastAsia="zh-CN"/>
        </w:rPr>
        <w:t>学校名称（盖章）</w:t>
      </w:r>
      <w:r>
        <w:rPr>
          <w:rFonts w:hint="eastAsia" w:ascii="宋体" w:hAnsi="宋体" w:eastAsia="宋体" w:cs="Times New Roman"/>
          <w:color w:val="000000"/>
          <w:sz w:val="36"/>
          <w:szCs w:val="36"/>
          <w:u w:val="single"/>
          <w:lang w:val="en-US" w:eastAsia="zh-CN"/>
        </w:rPr>
        <w:t xml:space="preserve"> 桂阳县职业技术教育学校 </w:t>
      </w:r>
    </w:p>
    <w:p>
      <w:pPr>
        <w:widowControl/>
        <w:shd w:val="clear" w:color="auto" w:fill="FFFFFF"/>
        <w:spacing w:line="1040" w:lineRule="atLeast"/>
        <w:ind w:firstLine="1080" w:firstLineChars="300"/>
        <w:jc w:val="both"/>
        <w:rPr>
          <w:rFonts w:hint="default" w:ascii="宋体" w:hAnsi="宋体" w:eastAsia="宋体" w:cs="Times New Roman"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36"/>
          <w:szCs w:val="36"/>
          <w:lang w:eastAsia="zh-CN"/>
        </w:rPr>
        <w:t>专业及专业代码</w:t>
      </w:r>
      <w:r>
        <w:rPr>
          <w:rFonts w:hint="eastAsia" w:ascii="宋体" w:hAnsi="宋体" w:eastAsia="宋体" w:cs="Times New Roman"/>
          <w:color w:val="000000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36"/>
          <w:szCs w:val="36"/>
          <w:u w:val="single"/>
          <w:lang w:eastAsia="zh-CN"/>
        </w:rPr>
        <w:t>电子商务</w:t>
      </w:r>
      <w:r>
        <w:rPr>
          <w:rFonts w:hint="eastAsia" w:ascii="宋体" w:hAnsi="宋体" w:eastAsia="宋体" w:cs="Times New Roman"/>
          <w:color w:val="000000"/>
          <w:sz w:val="36"/>
          <w:szCs w:val="36"/>
          <w:u w:val="single"/>
          <w:lang w:val="en-US" w:eastAsia="zh-CN"/>
        </w:rPr>
        <w:t xml:space="preserve">   730701      </w:t>
      </w:r>
    </w:p>
    <w:p>
      <w:pPr>
        <w:widowControl/>
        <w:shd w:val="clear" w:color="auto" w:fill="FFFFFF"/>
        <w:spacing w:line="1040" w:lineRule="atLeast"/>
        <w:ind w:firstLine="1080" w:firstLineChars="300"/>
        <w:jc w:val="both"/>
        <w:rPr>
          <w:rFonts w:hint="default" w:ascii="Times New Roman" w:hAnsi="Times New Roman" w:eastAsia="微软雅黑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36"/>
          <w:szCs w:val="36"/>
          <w:lang w:eastAsia="zh-CN"/>
        </w:rPr>
        <w:t>设置年度</w:t>
      </w:r>
      <w:r>
        <w:rPr>
          <w:rFonts w:hint="eastAsia" w:ascii="宋体" w:hAnsi="宋体" w:eastAsia="宋体" w:cs="Times New Roman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36"/>
          <w:szCs w:val="36"/>
          <w:u w:val="single"/>
          <w:lang w:val="en-US" w:eastAsia="zh-CN"/>
        </w:rPr>
        <w:t xml:space="preserve">        2016年                </w:t>
      </w:r>
    </w:p>
    <w:p>
      <w:pPr>
        <w:widowControl/>
        <w:shd w:val="clear" w:color="auto" w:fill="FFFFFF"/>
        <w:spacing w:line="1040" w:lineRule="atLeast"/>
        <w:ind w:firstLine="1080" w:firstLineChars="300"/>
        <w:jc w:val="both"/>
        <w:rPr>
          <w:rFonts w:hint="default" w:ascii="Times New Roman" w:hAnsi="Times New Roman" w:eastAsia="微软雅黑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36"/>
          <w:szCs w:val="36"/>
          <w:lang w:eastAsia="zh-CN"/>
        </w:rPr>
        <w:t>专业负责人</w:t>
      </w:r>
      <w:r>
        <w:rPr>
          <w:rFonts w:hint="eastAsia" w:ascii="宋体" w:hAnsi="宋体" w:eastAsia="宋体" w:cs="Times New Roman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36"/>
          <w:szCs w:val="36"/>
          <w:u w:val="single"/>
          <w:lang w:val="en-US" w:eastAsia="zh-CN"/>
        </w:rPr>
        <w:t xml:space="preserve">      朱瑞华                 </w:t>
      </w: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eastAsia="微软雅黑" w:cs="Times New Roman"/>
          <w:color w:val="00000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eastAsia="微软雅黑" w:cs="Times New Roman"/>
          <w:color w:val="00000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eastAsia="微软雅黑" w:cs="Times New Roman"/>
          <w:color w:val="00000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eastAsia="微软雅黑" w:cs="Times New Roman"/>
          <w:color w:val="00000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eastAsia="微软雅黑" w:cs="Times New Roman"/>
          <w:color w:val="00000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eastAsia="微软雅黑" w:cs="Times New Roman"/>
          <w:color w:val="000000"/>
          <w:sz w:val="36"/>
          <w:szCs w:val="36"/>
          <w:lang w:eastAsia="zh-CN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 w:eastAsia="微软雅黑" w:cs="Times New Roman"/>
          <w:color w:val="0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Times New Roman"/>
          <w:color w:val="000000"/>
          <w:sz w:val="36"/>
          <w:szCs w:val="36"/>
          <w:lang w:eastAsia="zh-CN"/>
        </w:rPr>
        <w:t>2022年3月</w:t>
      </w: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eastAsia="微软雅黑" w:cs="Times New Roman"/>
          <w:color w:val="000000"/>
          <w:sz w:val="36"/>
          <w:szCs w:val="36"/>
          <w:lang w:eastAsia="zh-CN"/>
        </w:rPr>
        <w:sectPr>
          <w:pgSz w:w="11910" w:h="16840"/>
          <w:pgMar w:top="1440" w:right="1587" w:bottom="1440" w:left="1587" w:header="850" w:footer="992" w:gutter="0"/>
          <w:cols w:space="720" w:num="1"/>
        </w:sectPr>
      </w:pPr>
    </w:p>
    <w:p>
      <w:pPr>
        <w:widowControl/>
        <w:shd w:val="clear" w:color="auto" w:fill="FFFFFF"/>
        <w:spacing w:line="480" w:lineRule="atLeast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Times New Roman"/>
          <w:color w:val="000000"/>
          <w:sz w:val="36"/>
          <w:szCs w:val="36"/>
          <w:lang w:eastAsia="zh-CN"/>
        </w:rPr>
        <w:t> 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郴州市中等职业学校专业办学水平合格性评价自评表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2946"/>
        <w:gridCol w:w="3396"/>
        <w:gridCol w:w="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一级指标</w:t>
            </w:r>
          </w:p>
        </w:tc>
        <w:tc>
          <w:tcPr>
            <w:tcW w:w="3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二级指标</w:t>
            </w:r>
          </w:p>
        </w:tc>
        <w:tc>
          <w:tcPr>
            <w:tcW w:w="3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真实性描述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自评等级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1.专业定位与规划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1.1 专业定位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结合社会发展趋势，并开展当地及周边市场的社会需求调研，本专业的开设与定位符合市场需求。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1.2 人才培养方案*</w:t>
            </w:r>
          </w:p>
        </w:tc>
        <w:tc>
          <w:tcPr>
            <w:tcW w:w="3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人才培养方案以社会对人才的需求为导向，并秉承因材施教，有教无类的原则，开展具有普适性课程的职业教育。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2.师资队伍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2.1 专业教师结构*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专业教师均为本专业或相关专业本科以上学历，取得中职教师资格证。具有优良的师德师风，爱岗敬业。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2.2 师资队伍建设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学校重视对专业教师的培养，每年轮流派出1-2位专业教师参加国培；另重视技能大赛与教师职业能力竞赛等赛事，通过以赛促学，激励教师成长。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3.教学条件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3.1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校内实习实训基地*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校内具有电子商务机房1个，摄影室1个以及其他计算机基础课程实训基地若干。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3.2 校外实习实训基地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目前与校内工厂、伊凡设计、江伟跨境电商等公司为本专业学生提供实训岗位。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3.3 图书与教材资料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均为教育部十三五规划教材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3.4 专业经费投入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财政拨款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4.教学运行与管理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4.1 课程体系与教学内容*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本专业所有均紧密结合人才培养方案而选定的，我校电子商务专业着重培养方向在于网店美工、运营与客户三个方向，课程安排合理，并紧密结合“1+X”中职专业书证融通政策，调整专业培养节奏。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4.2 实践教学*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专业实习课程均有实习项目指导书，学生需要做好实训记录。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4.3 教学方法与手段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除了常用的讲述法外，还常利用多媒体教学法、案例分析法、学生小组讨论及头脑风暴法等办法促进教学。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4.4 教学管理*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从教师备课、上课及考试，均需要做好纸质记录并存档。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4.5 教研教改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除了做好常规教学工作，认知细致精益求精。还有重点抓住技能大赛与教师教学能力大赛两个抓手，以赛促学。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5.人才培养质量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5.1 思想道德*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学生遵纪守法，爱岗敬业，吃苦耐劳。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5.2 专业技能水平*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敢于客服困难不断钻研，在技术上精益求精。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5.3 身心素质*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具备终身学习成长的理念。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5.4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学生满意度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满意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5.5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专业招生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专业生源数量多，质量中等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.产教融合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6.1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专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业教师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开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各类培训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情况*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专业教师与企业之间有紧密合作，暑假会去企业进行岗位就业。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6.2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合作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接收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实习人数及留用比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接收率与留用率比重分别为98%与55%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6.3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生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均共建共享生产性实训基地工位数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300个工位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.特色创新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7.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专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业建设成果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*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学生技能大赛年年均用荣获省级奖项纪录；教师教学能力比武近2年也在省赛中有所突破。另外在1+X书证融通的政策下，我校学生也取得了通过率96%的通过率。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A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2022-03-15T01:16:09Z</dcterms:created>
  <dc:creator>Administrator</dc:creator>
  <cp:lastModifiedBy>Administrator</cp:lastModifiedBy>
  <dcterms:modified xsi:type="dcterms:W3CDTF">2022-03-15T01:16:48Z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249F1CD1A4784B4D935EE84BBCCFA4B5</vt:lpwstr>
  </property>
</Properties>
</file>