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cs="Times New Roman"/>
          <w:sz w:val="20"/>
          <w:lang w:val="en-US"/>
        </w:rPr>
      </w:pPr>
      <w:r>
        <w:rPr>
          <w:rFonts w:hint="eastAsia" w:ascii="Times New Roman" w:hAnsi="Times New Roman" w:cs="Times New Roman"/>
          <w:sz w:val="20"/>
          <w:lang w:val="en-US"/>
        </w:rPr>
        <w:t xml:space="preserve"> </w:t>
      </w:r>
    </w:p>
    <w:p>
      <w:pPr>
        <w:pStyle w:val="4"/>
        <w:rPr>
          <w:rFonts w:ascii="Times New Roman" w:hAnsi="Times New Roman" w:cs="Times New Roman"/>
          <w:sz w:val="20"/>
        </w:rPr>
      </w:pPr>
    </w:p>
    <w:p>
      <w:pPr>
        <w:adjustRightInd w:val="0"/>
        <w:snapToGrid w:val="0"/>
        <w:spacing w:line="600" w:lineRule="exact"/>
        <w:jc w:val="center"/>
        <w:rPr>
          <w:rFonts w:ascii="Times New Roman" w:hAnsi="Times New Roman" w:eastAsia="方正小标宋简体" w:cs="Times New Roman"/>
          <w:sz w:val="44"/>
          <w:szCs w:val="44"/>
        </w:rPr>
      </w:pPr>
    </w:p>
    <w:p>
      <w:pPr>
        <w:adjustRightInd w:val="0"/>
        <w:snapToGrid w:val="0"/>
        <w:spacing w:line="600" w:lineRule="exact"/>
        <w:jc w:val="center"/>
        <w:rPr>
          <w:rFonts w:ascii="Times New Roman" w:hAnsi="Times New Roman" w:eastAsia="方正小标宋简体" w:cs="Times New Roman"/>
          <w:sz w:val="44"/>
          <w:szCs w:val="44"/>
        </w:rPr>
      </w:pPr>
    </w:p>
    <w:p>
      <w:pPr>
        <w:adjustRightInd w:val="0"/>
        <w:snapToGrid w:val="0"/>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en-US"/>
        </w:rPr>
        <w:t>2021</w:t>
      </w:r>
      <w:r>
        <w:rPr>
          <w:rFonts w:hint="eastAsia" w:ascii="Times New Roman" w:hAnsi="Times New Roman" w:eastAsia="方正小标宋简体" w:cs="Times New Roman"/>
          <w:sz w:val="44"/>
          <w:szCs w:val="44"/>
          <w:lang w:val="en-US"/>
        </w:rPr>
        <w:t>年</w:t>
      </w:r>
      <w:r>
        <w:rPr>
          <w:rFonts w:hint="eastAsia" w:ascii="Times New Roman" w:hAnsi="Times New Roman" w:eastAsia="方正小标宋简体" w:cs="Times New Roman"/>
          <w:sz w:val="44"/>
          <w:szCs w:val="44"/>
        </w:rPr>
        <w:t>职业教育省级重点建设项目</w:t>
      </w:r>
    </w:p>
    <w:p>
      <w:pPr>
        <w:adjustRightInd w:val="0"/>
        <w:snapToGrid w:val="0"/>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绩效自评报告</w:t>
      </w:r>
    </w:p>
    <w:p/>
    <w:p/>
    <w:p/>
    <w:p/>
    <w:p/>
    <w:p/>
    <w:tbl>
      <w:tblPr>
        <w:tblStyle w:val="10"/>
        <w:tblW w:w="7519" w:type="dxa"/>
        <w:jc w:val="center"/>
        <w:tblLayout w:type="fixed"/>
        <w:tblCellMar>
          <w:top w:w="0" w:type="dxa"/>
          <w:left w:w="108" w:type="dxa"/>
          <w:bottom w:w="0" w:type="dxa"/>
          <w:right w:w="108" w:type="dxa"/>
        </w:tblCellMar>
      </w:tblPr>
      <w:tblGrid>
        <w:gridCol w:w="2680"/>
        <w:gridCol w:w="4839"/>
      </w:tblGrid>
      <w:tr>
        <w:tblPrEx>
          <w:tblCellMar>
            <w:top w:w="0" w:type="dxa"/>
            <w:left w:w="108" w:type="dxa"/>
            <w:bottom w:w="0" w:type="dxa"/>
            <w:right w:w="108" w:type="dxa"/>
          </w:tblCellMar>
        </w:tblPrEx>
        <w:trPr>
          <w:trHeight w:val="705" w:hRule="atLeast"/>
          <w:jc w:val="center"/>
        </w:trPr>
        <w:tc>
          <w:tcPr>
            <w:tcW w:w="2680" w:type="dxa"/>
          </w:tcPr>
          <w:p>
            <w:pPr>
              <w:rPr>
                <w:sz w:val="28"/>
                <w:szCs w:val="28"/>
              </w:rPr>
            </w:pPr>
            <w:r>
              <w:rPr>
                <w:rFonts w:hint="eastAsia"/>
                <w:sz w:val="28"/>
                <w:szCs w:val="28"/>
              </w:rPr>
              <w:t>项   目   名  称</w:t>
            </w:r>
          </w:p>
        </w:tc>
        <w:tc>
          <w:tcPr>
            <w:tcW w:w="4839" w:type="dxa"/>
          </w:tcPr>
          <w:p>
            <w:pPr>
              <w:rPr>
                <w:sz w:val="28"/>
                <w:szCs w:val="28"/>
                <w:u w:val="single"/>
              </w:rPr>
            </w:pPr>
            <w:r>
              <w:rPr>
                <w:rFonts w:hint="eastAsia"/>
                <w:sz w:val="28"/>
                <w:szCs w:val="28"/>
                <w:u w:val="single"/>
              </w:rPr>
              <w:t xml:space="preserve">     卓越中等职业学校</w:t>
            </w:r>
            <w:r>
              <w:rPr>
                <w:sz w:val="28"/>
                <w:szCs w:val="28"/>
                <w:u w:val="single"/>
              </w:rPr>
              <w:t xml:space="preserve">              </w:t>
            </w:r>
          </w:p>
        </w:tc>
      </w:tr>
      <w:tr>
        <w:tblPrEx>
          <w:tblCellMar>
            <w:top w:w="0" w:type="dxa"/>
            <w:left w:w="108" w:type="dxa"/>
            <w:bottom w:w="0" w:type="dxa"/>
            <w:right w:w="108" w:type="dxa"/>
          </w:tblCellMar>
        </w:tblPrEx>
        <w:trPr>
          <w:trHeight w:val="705" w:hRule="atLeast"/>
          <w:jc w:val="center"/>
        </w:trPr>
        <w:tc>
          <w:tcPr>
            <w:tcW w:w="2680" w:type="dxa"/>
          </w:tcPr>
          <w:p>
            <w:pPr>
              <w:rPr>
                <w:sz w:val="28"/>
                <w:szCs w:val="28"/>
              </w:rPr>
            </w:pPr>
            <w:r>
              <w:rPr>
                <w:rFonts w:hint="eastAsia"/>
                <w:sz w:val="28"/>
                <w:szCs w:val="28"/>
              </w:rPr>
              <w:t>立    项  年  度</w:t>
            </w:r>
          </w:p>
        </w:tc>
        <w:tc>
          <w:tcPr>
            <w:tcW w:w="4839" w:type="dxa"/>
          </w:tcPr>
          <w:p>
            <w:pPr>
              <w:rPr>
                <w:sz w:val="28"/>
                <w:szCs w:val="28"/>
                <w:u w:val="single"/>
              </w:rPr>
            </w:pPr>
            <w:r>
              <w:rPr>
                <w:sz w:val="28"/>
                <w:szCs w:val="28"/>
              </w:rPr>
              <w:t xml:space="preserve">   </w:t>
            </w:r>
            <w:r>
              <w:rPr>
                <w:sz w:val="28"/>
                <w:szCs w:val="28"/>
                <w:u w:val="single"/>
              </w:rPr>
              <w:t xml:space="preserve">  </w:t>
            </w:r>
            <w:r>
              <w:rPr>
                <w:rFonts w:hint="eastAsia"/>
                <w:sz w:val="28"/>
                <w:szCs w:val="28"/>
                <w:u w:val="single"/>
                <w:lang w:val="en-US"/>
              </w:rPr>
              <w:t xml:space="preserve">    </w:t>
            </w:r>
            <w:r>
              <w:rPr>
                <w:rFonts w:hint="eastAsia"/>
                <w:sz w:val="28"/>
                <w:szCs w:val="28"/>
                <w:u w:val="single"/>
              </w:rPr>
              <w:t>2020年度</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trHeight w:val="705" w:hRule="atLeast"/>
          <w:jc w:val="center"/>
        </w:trPr>
        <w:tc>
          <w:tcPr>
            <w:tcW w:w="2680" w:type="dxa"/>
          </w:tcPr>
          <w:p>
            <w:pPr>
              <w:rPr>
                <w:sz w:val="28"/>
                <w:szCs w:val="28"/>
              </w:rPr>
            </w:pPr>
            <w:r>
              <w:rPr>
                <w:rFonts w:hint="eastAsia"/>
                <w:sz w:val="28"/>
                <w:szCs w:val="28"/>
              </w:rPr>
              <w:t>项目学校（盖章）</w:t>
            </w:r>
          </w:p>
        </w:tc>
        <w:tc>
          <w:tcPr>
            <w:tcW w:w="4839" w:type="dxa"/>
          </w:tcPr>
          <w:p>
            <w:pPr>
              <w:rPr>
                <w:sz w:val="28"/>
                <w:szCs w:val="28"/>
                <w:u w:val="single"/>
              </w:rPr>
            </w:pPr>
            <w:r>
              <w:rPr>
                <w:rFonts w:hint="eastAsia"/>
                <w:sz w:val="28"/>
                <w:szCs w:val="28"/>
                <w:u w:val="single"/>
              </w:rPr>
              <w:t xml:space="preserve">  桂阳县职业技术教育学校</w:t>
            </w:r>
            <w:r>
              <w:rPr>
                <w:sz w:val="28"/>
                <w:szCs w:val="28"/>
                <w:u w:val="single"/>
              </w:rPr>
              <w:t xml:space="preserve">        </w:t>
            </w:r>
            <w:r>
              <w:rPr>
                <w:rFonts w:hint="eastAsia"/>
                <w:sz w:val="28"/>
                <w:szCs w:val="28"/>
                <w:u w:val="single"/>
              </w:rPr>
              <w:t xml:space="preserve">  </w:t>
            </w:r>
          </w:p>
        </w:tc>
      </w:tr>
      <w:tr>
        <w:tblPrEx>
          <w:tblCellMar>
            <w:top w:w="0" w:type="dxa"/>
            <w:left w:w="108" w:type="dxa"/>
            <w:bottom w:w="0" w:type="dxa"/>
            <w:right w:w="108" w:type="dxa"/>
          </w:tblCellMar>
        </w:tblPrEx>
        <w:trPr>
          <w:trHeight w:val="688" w:hRule="atLeast"/>
          <w:jc w:val="center"/>
        </w:trPr>
        <w:tc>
          <w:tcPr>
            <w:tcW w:w="2680" w:type="dxa"/>
          </w:tcPr>
          <w:p>
            <w:pPr>
              <w:rPr>
                <w:sz w:val="28"/>
                <w:szCs w:val="28"/>
              </w:rPr>
            </w:pPr>
            <w:r>
              <w:rPr>
                <w:rFonts w:hint="eastAsia"/>
                <w:sz w:val="28"/>
                <w:szCs w:val="28"/>
              </w:rPr>
              <w:t>项  目  负 责 人</w:t>
            </w:r>
          </w:p>
        </w:tc>
        <w:tc>
          <w:tcPr>
            <w:tcW w:w="4839" w:type="dxa"/>
          </w:tcPr>
          <w:p>
            <w:pPr>
              <w:rPr>
                <w:sz w:val="28"/>
                <w:szCs w:val="28"/>
                <w:u w:val="single"/>
              </w:rPr>
            </w:pP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欧阳新雄</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CellMar>
            <w:top w:w="0" w:type="dxa"/>
            <w:left w:w="108" w:type="dxa"/>
            <w:bottom w:w="0" w:type="dxa"/>
            <w:right w:w="108" w:type="dxa"/>
          </w:tblCellMar>
        </w:tblPrEx>
        <w:trPr>
          <w:trHeight w:val="688" w:hRule="atLeast"/>
          <w:jc w:val="center"/>
        </w:trPr>
        <w:tc>
          <w:tcPr>
            <w:tcW w:w="2680" w:type="dxa"/>
          </w:tcPr>
          <w:p>
            <w:pPr>
              <w:rPr>
                <w:sz w:val="28"/>
                <w:szCs w:val="28"/>
              </w:rPr>
            </w:pPr>
            <w:r>
              <w:rPr>
                <w:rFonts w:hint="eastAsia"/>
                <w:sz w:val="28"/>
                <w:szCs w:val="28"/>
              </w:rPr>
              <w:t xml:space="preserve">项  目  联 系 人        </w:t>
            </w:r>
          </w:p>
        </w:tc>
        <w:tc>
          <w:tcPr>
            <w:tcW w:w="4839" w:type="dxa"/>
          </w:tcPr>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邓大琥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CellMar>
            <w:top w:w="0" w:type="dxa"/>
            <w:left w:w="108" w:type="dxa"/>
            <w:bottom w:w="0" w:type="dxa"/>
            <w:right w:w="108" w:type="dxa"/>
          </w:tblCellMar>
        </w:tblPrEx>
        <w:trPr>
          <w:trHeight w:val="705" w:hRule="atLeast"/>
          <w:jc w:val="center"/>
        </w:trPr>
        <w:tc>
          <w:tcPr>
            <w:tcW w:w="2680" w:type="dxa"/>
            <w:vAlign w:val="center"/>
          </w:tcPr>
          <w:p>
            <w:pPr>
              <w:rPr>
                <w:sz w:val="28"/>
                <w:szCs w:val="28"/>
                <w:u w:val="single"/>
              </w:rPr>
            </w:pPr>
            <w:r>
              <w:rPr>
                <w:rFonts w:hint="eastAsia"/>
                <w:sz w:val="28"/>
                <w:szCs w:val="28"/>
              </w:rPr>
              <w:t xml:space="preserve">办   公   电  话                  </w:t>
            </w:r>
          </w:p>
          <w:p>
            <w:pPr>
              <w:rPr>
                <w:sz w:val="28"/>
                <w:szCs w:val="28"/>
              </w:rPr>
            </w:pPr>
          </w:p>
          <w:p>
            <w:pPr>
              <w:rPr>
                <w:sz w:val="28"/>
                <w:szCs w:val="28"/>
              </w:rPr>
            </w:pPr>
            <w:r>
              <w:rPr>
                <w:rFonts w:hint="eastAsia"/>
                <w:sz w:val="28"/>
                <w:szCs w:val="28"/>
              </w:rPr>
              <w:t xml:space="preserve">手   机  号   码  </w:t>
            </w:r>
          </w:p>
          <w:p>
            <w:pPr>
              <w:rPr>
                <w:sz w:val="28"/>
                <w:szCs w:val="28"/>
              </w:rPr>
            </w:pPr>
          </w:p>
          <w:p>
            <w:pPr>
              <w:rPr>
                <w:sz w:val="28"/>
                <w:szCs w:val="28"/>
              </w:rPr>
            </w:pPr>
            <w:r>
              <w:rPr>
                <w:rFonts w:hint="eastAsia"/>
                <w:sz w:val="28"/>
                <w:szCs w:val="28"/>
              </w:rPr>
              <w:t xml:space="preserve">电   子   邮  箱   </w:t>
            </w:r>
          </w:p>
        </w:tc>
        <w:tc>
          <w:tcPr>
            <w:tcW w:w="4839" w:type="dxa"/>
          </w:tcPr>
          <w:p>
            <w:pPr>
              <w:rPr>
                <w:sz w:val="28"/>
                <w:szCs w:val="28"/>
                <w:u w:val="single"/>
              </w:rPr>
            </w:pPr>
            <w:r>
              <w:rPr>
                <w:rFonts w:hint="eastAsia"/>
                <w:sz w:val="28"/>
                <w:szCs w:val="28"/>
                <w:u w:val="single"/>
              </w:rPr>
              <w:t xml:space="preserve">       0735-4472205                  </w:t>
            </w:r>
          </w:p>
          <w:p>
            <w:pPr>
              <w:rPr>
                <w:sz w:val="28"/>
                <w:szCs w:val="28"/>
              </w:rPr>
            </w:pPr>
          </w:p>
          <w:p>
            <w:pPr>
              <w:rPr>
                <w:sz w:val="28"/>
                <w:szCs w:val="28"/>
                <w:u w:val="single"/>
              </w:rPr>
            </w:pPr>
            <w:r>
              <w:rPr>
                <w:rFonts w:hint="eastAsia"/>
                <w:sz w:val="28"/>
                <w:szCs w:val="28"/>
              </w:rPr>
              <w:t xml:space="preserve"> </w:t>
            </w:r>
            <w:r>
              <w:rPr>
                <w:rFonts w:hint="eastAsia"/>
                <w:sz w:val="28"/>
                <w:szCs w:val="28"/>
                <w:u w:val="single"/>
              </w:rPr>
              <w:t xml:space="preserve">      13762520768                </w:t>
            </w:r>
          </w:p>
          <w:p>
            <w:pPr>
              <w:rPr>
                <w:sz w:val="28"/>
                <w:szCs w:val="28"/>
                <w:u w:val="single"/>
              </w:rPr>
            </w:pPr>
          </w:p>
          <w:p>
            <w:pPr>
              <w:rPr>
                <w:b/>
                <w:sz w:val="28"/>
                <w:szCs w:val="28"/>
                <w:u w:val="single"/>
              </w:rPr>
            </w:pPr>
            <w:r>
              <w:rPr>
                <w:rFonts w:hint="eastAsia"/>
                <w:sz w:val="28"/>
                <w:szCs w:val="28"/>
                <w:u w:val="single"/>
              </w:rPr>
              <w:t xml:space="preserve">  </w:t>
            </w:r>
            <w:r>
              <w:rPr>
                <w:rFonts w:hint="eastAsia"/>
                <w:b/>
                <w:sz w:val="28"/>
                <w:szCs w:val="28"/>
                <w:u w:val="single"/>
              </w:rPr>
              <w:t xml:space="preserve">    </w:t>
            </w:r>
            <w:r>
              <w:fldChar w:fldCharType="begin"/>
            </w:r>
            <w:r>
              <w:instrText xml:space="preserve"> HYPERLINK "mailto:809514882@qq.com" </w:instrText>
            </w:r>
            <w:r>
              <w:fldChar w:fldCharType="separate"/>
            </w:r>
            <w:r>
              <w:rPr>
                <w:rStyle w:val="15"/>
                <w:rFonts w:hint="eastAsia"/>
                <w:sz w:val="28"/>
                <w:szCs w:val="28"/>
                <w:u w:val="single"/>
              </w:rPr>
              <w:t>809514882@qq.com</w:t>
            </w:r>
            <w:r>
              <w:rPr>
                <w:rStyle w:val="15"/>
                <w:rFonts w:hint="eastAsia"/>
                <w:sz w:val="28"/>
                <w:szCs w:val="28"/>
                <w:u w:val="single"/>
              </w:rPr>
              <w:fldChar w:fldCharType="end"/>
            </w:r>
            <w:r>
              <w:rPr>
                <w:rFonts w:hint="eastAsia"/>
                <w:b/>
                <w:sz w:val="28"/>
                <w:szCs w:val="28"/>
                <w:u w:val="single"/>
              </w:rPr>
              <w:t xml:space="preserve">             </w:t>
            </w:r>
          </w:p>
        </w:tc>
      </w:tr>
      <w:tr>
        <w:tblPrEx>
          <w:tblCellMar>
            <w:top w:w="0" w:type="dxa"/>
            <w:left w:w="108" w:type="dxa"/>
            <w:bottom w:w="0" w:type="dxa"/>
            <w:right w:w="108" w:type="dxa"/>
          </w:tblCellMar>
        </w:tblPrEx>
        <w:trPr>
          <w:trHeight w:val="1850" w:hRule="atLeast"/>
          <w:jc w:val="center"/>
        </w:trPr>
        <w:tc>
          <w:tcPr>
            <w:tcW w:w="2680" w:type="dxa"/>
            <w:vAlign w:val="center"/>
          </w:tcPr>
          <w:p/>
        </w:tc>
        <w:tc>
          <w:tcPr>
            <w:tcW w:w="4839" w:type="dxa"/>
            <w:vAlign w:val="center"/>
          </w:tcPr>
          <w:p/>
        </w:tc>
      </w:tr>
      <w:tr>
        <w:tblPrEx>
          <w:tblCellMar>
            <w:top w:w="0" w:type="dxa"/>
            <w:left w:w="108" w:type="dxa"/>
            <w:bottom w:w="0" w:type="dxa"/>
            <w:right w:w="108" w:type="dxa"/>
          </w:tblCellMar>
        </w:tblPrEx>
        <w:trPr>
          <w:trHeight w:val="616" w:hRule="atLeast"/>
          <w:jc w:val="center"/>
        </w:trPr>
        <w:tc>
          <w:tcPr>
            <w:tcW w:w="2680" w:type="dxa"/>
            <w:vAlign w:val="center"/>
          </w:tcPr>
          <w:p/>
        </w:tc>
        <w:tc>
          <w:tcPr>
            <w:tcW w:w="4839" w:type="dxa"/>
            <w:vAlign w:val="center"/>
          </w:tcPr>
          <w:p/>
        </w:tc>
      </w:tr>
    </w:tbl>
    <w:p>
      <w:pPr>
        <w:adjustRightInd w:val="0"/>
        <w:snapToGrid w:val="0"/>
        <w:spacing w:line="600" w:lineRule="exact"/>
        <w:jc w:val="both"/>
        <w:rPr>
          <w:rFonts w:ascii="Times New Roman" w:hAnsi="Times New Roman" w:eastAsia="方正小标宋简体" w:cs="Times New Roman"/>
          <w:sz w:val="44"/>
          <w:szCs w:val="44"/>
          <w:lang w:val="en-US"/>
        </w:rPr>
        <w:sectPr>
          <w:footerReference r:id="rId5" w:type="first"/>
          <w:footerReference r:id="rId3" w:type="default"/>
          <w:footerReference r:id="rId4" w:type="even"/>
          <w:pgSz w:w="11906" w:h="16838"/>
          <w:pgMar w:top="1701" w:right="1418" w:bottom="1418" w:left="1418" w:header="851" w:footer="992" w:gutter="0"/>
          <w:cols w:space="425" w:num="1"/>
          <w:docGrid w:linePitch="559" w:charSpace="-1683"/>
        </w:sectPr>
      </w:pPr>
      <w:r>
        <w:rPr>
          <w:rFonts w:ascii="Times New Roman" w:hAnsi="Times New Roman" w:eastAsia="方正小标宋简体" w:cs="Times New Roman"/>
          <w:sz w:val="44"/>
          <w:szCs w:val="44"/>
          <w:lang w:val="en-US"/>
        </w:rPr>
        <w:br w:type="page"/>
      </w:r>
    </w:p>
    <w:p>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en-US"/>
        </w:rPr>
        <w:t>2021</w:t>
      </w:r>
      <w:r>
        <w:rPr>
          <w:rFonts w:hint="eastAsia" w:ascii="Times New Roman" w:hAnsi="Times New Roman" w:eastAsia="方正小标宋简体" w:cs="Times New Roman"/>
          <w:sz w:val="44"/>
          <w:szCs w:val="44"/>
          <w:lang w:val="en-US"/>
        </w:rPr>
        <w:t>年</w:t>
      </w:r>
      <w:r>
        <w:rPr>
          <w:rFonts w:hint="eastAsia" w:ascii="Times New Roman" w:hAnsi="Times New Roman" w:eastAsia="方正小标宋简体" w:cs="Times New Roman"/>
          <w:sz w:val="44"/>
          <w:szCs w:val="44"/>
        </w:rPr>
        <w:t>职业教育省级重点建设项目</w:t>
      </w:r>
    </w:p>
    <w:p>
      <w:pPr>
        <w:pStyle w:val="2"/>
        <w:adjustRightInd w:val="0"/>
        <w:snapToGrid w:val="0"/>
        <w:spacing w:line="600" w:lineRule="exact"/>
        <w:rPr>
          <w:rFonts w:ascii="Times New Roman" w:hAnsi="Times New Roman" w:eastAsia="方正小标宋简体" w:cs="Times New Roman"/>
        </w:rPr>
      </w:pPr>
      <w:r>
        <w:rPr>
          <w:rFonts w:hint="eastAsia" w:ascii="Times New Roman" w:hAnsi="Times New Roman" w:eastAsia="方正小标宋简体" w:cs="Times New Roman"/>
        </w:rPr>
        <w:t>绩效自评报告</w:t>
      </w:r>
    </w:p>
    <w:p>
      <w:pPr>
        <w:spacing w:line="580" w:lineRule="exact"/>
        <w:rPr>
          <w:rFonts w:ascii="Times New Roman" w:hAnsi="Times New Roman" w:eastAsia="仿宋_GB2312" w:cs="Times New Roman"/>
          <w:sz w:val="30"/>
          <w:szCs w:val="30"/>
        </w:rPr>
      </w:pPr>
    </w:p>
    <w:p>
      <w:pPr>
        <w:spacing w:line="360" w:lineRule="auto"/>
        <w:ind w:firstLine="600" w:firstLineChars="200"/>
        <w:jc w:val="both"/>
        <w:outlineLvl w:val="0"/>
        <w:rPr>
          <w:rFonts w:ascii="Times New Roman" w:hAnsi="Times New Roman" w:eastAsia="黑体" w:cs="Times New Roman"/>
          <w:sz w:val="30"/>
          <w:szCs w:val="30"/>
        </w:rPr>
      </w:pPr>
      <w:r>
        <w:rPr>
          <w:rFonts w:hint="eastAsia" w:ascii="Times New Roman" w:hAnsi="Times New Roman" w:eastAsia="黑体" w:cs="Times New Roman"/>
          <w:sz w:val="30"/>
          <w:szCs w:val="30"/>
        </w:rPr>
        <w:t>一、项目概况</w:t>
      </w:r>
    </w:p>
    <w:p>
      <w:pPr>
        <w:spacing w:line="360" w:lineRule="auto"/>
        <w:ind w:firstLine="600" w:firstLineChars="200"/>
        <w:jc w:val="both"/>
        <w:rPr>
          <w:rFonts w:ascii="仿宋" w:hAnsi="仿宋" w:eastAsia="仿宋" w:cs="Times New Roman"/>
          <w:sz w:val="30"/>
          <w:szCs w:val="30"/>
        </w:rPr>
      </w:pPr>
      <w:r>
        <w:rPr>
          <w:rFonts w:hint="eastAsia" w:ascii="仿宋" w:hAnsi="仿宋" w:eastAsia="仿宋" w:cs="Times New Roman"/>
          <w:sz w:val="30"/>
          <w:szCs w:val="30"/>
        </w:rPr>
        <w:t>根据《关于做好第三批湖南省卓越中等职业学校建设项目申报工作的通知》（湘教通〔2019〕375号）精神，2020年3月，桂阳县职业技术教育学校正式确定为第三批湖南省卓越中等职业学校建设单位。该项目建设周期为三年，建设经费为3613万元。截至2021年3月底，我校建设资金应投入1193万元，实际投入使用1195万元，</w:t>
      </w:r>
      <w:r>
        <w:rPr>
          <w:rFonts w:hint="eastAsia" w:ascii="Times New Roman" w:hAnsi="Times New Roman" w:eastAsia="仿宋" w:cs="Times New Roman"/>
          <w:sz w:val="30"/>
          <w:szCs w:val="30"/>
        </w:rPr>
        <w:t>本年度，我校能以卓越</w:t>
      </w:r>
      <w:r>
        <w:rPr>
          <w:rFonts w:ascii="Times New Roman" w:hAnsi="Times New Roman" w:eastAsia="仿宋" w:cs="Times New Roman"/>
          <w:sz w:val="30"/>
          <w:szCs w:val="30"/>
        </w:rPr>
        <w:t>校</w:t>
      </w:r>
      <w:r>
        <w:rPr>
          <w:rFonts w:hint="eastAsia" w:ascii="Times New Roman" w:hAnsi="Times New Roman" w:eastAsia="仿宋" w:cs="Times New Roman"/>
          <w:sz w:val="30"/>
          <w:szCs w:val="30"/>
        </w:rPr>
        <w:t>建设</w:t>
      </w:r>
      <w:r>
        <w:rPr>
          <w:rFonts w:ascii="Times New Roman" w:hAnsi="Times New Roman" w:eastAsia="仿宋" w:cs="Times New Roman"/>
          <w:sz w:val="30"/>
          <w:szCs w:val="30"/>
        </w:rPr>
        <w:t>为契机，</w:t>
      </w:r>
      <w:r>
        <w:rPr>
          <w:rFonts w:hint="eastAsia" w:ascii="Times New Roman" w:hAnsi="Times New Roman" w:eastAsia="仿宋" w:cs="Times New Roman"/>
          <w:sz w:val="30"/>
          <w:szCs w:val="30"/>
        </w:rPr>
        <w:t>认真贯彻落实国务院、湖南省《职业教育改革实施方案》，大兴“爱国、求知、创业、兴工”的 “楚怡”职教精神，经费管理使用规范，“135”发展战略初步推进，办学特色突出,阶段性成果明显。</w:t>
      </w:r>
    </w:p>
    <w:p>
      <w:pPr>
        <w:spacing w:line="360" w:lineRule="auto"/>
        <w:ind w:firstLine="600" w:firstLineChars="200"/>
        <w:jc w:val="both"/>
        <w:outlineLvl w:val="0"/>
        <w:rPr>
          <w:rFonts w:ascii="Times New Roman" w:hAnsi="Times New Roman" w:eastAsia="黑体" w:cs="Times New Roman"/>
          <w:sz w:val="30"/>
          <w:szCs w:val="30"/>
        </w:rPr>
      </w:pPr>
      <w:r>
        <w:rPr>
          <w:rFonts w:hint="eastAsia" w:ascii="Times New Roman" w:hAnsi="Times New Roman" w:eastAsia="黑体" w:cs="Times New Roman"/>
          <w:sz w:val="30"/>
          <w:szCs w:val="30"/>
        </w:rPr>
        <w:t>二、主要绩效</w:t>
      </w:r>
    </w:p>
    <w:p>
      <w:pPr>
        <w:spacing w:line="360" w:lineRule="auto"/>
        <w:ind w:firstLine="602" w:firstLineChars="200"/>
        <w:jc w:val="both"/>
        <w:rPr>
          <w:rFonts w:ascii="楷体_GB2312" w:hAnsi="仿宋" w:eastAsia="楷体_GB2312" w:cs="Times New Roman"/>
          <w:b/>
          <w:bCs/>
          <w:sz w:val="30"/>
          <w:szCs w:val="30"/>
          <w:lang w:val="en-US"/>
        </w:rPr>
      </w:pPr>
      <w:r>
        <w:rPr>
          <w:rFonts w:hint="eastAsia" w:ascii="楷体_GB2312" w:hAnsi="仿宋" w:eastAsia="楷体_GB2312" w:cs="Times New Roman"/>
          <w:b/>
          <w:bCs/>
          <w:sz w:val="30"/>
          <w:szCs w:val="30"/>
          <w:lang w:val="en-US"/>
        </w:rPr>
        <w:t>（一）经费管理使用规范，确保了</w:t>
      </w:r>
      <w:r>
        <w:rPr>
          <w:rFonts w:hint="eastAsia" w:ascii="楷体_GB2312" w:hAnsi="仿宋" w:eastAsia="楷体_GB2312" w:cs="Times New Roman"/>
          <w:b/>
          <w:bCs/>
          <w:sz w:val="30"/>
          <w:szCs w:val="30"/>
        </w:rPr>
        <w:t>经费落实到位。</w:t>
      </w:r>
    </w:p>
    <w:p>
      <w:pPr>
        <w:spacing w:line="360" w:lineRule="auto"/>
        <w:ind w:firstLine="750" w:firstLineChars="250"/>
        <w:jc w:val="both"/>
        <w:rPr>
          <w:rFonts w:ascii="仿宋" w:hAnsi="仿宋" w:eastAsia="仿宋" w:cs="Times New Roman"/>
          <w:sz w:val="30"/>
          <w:szCs w:val="30"/>
        </w:rPr>
      </w:pPr>
      <w:r>
        <w:rPr>
          <w:rFonts w:hint="eastAsia" w:ascii="仿宋" w:hAnsi="仿宋" w:eastAsia="仿宋" w:cs="Times New Roman"/>
          <w:sz w:val="30"/>
          <w:szCs w:val="30"/>
        </w:rPr>
        <w:t>桂阳县人民政府和学校高度重视卓越中等职业学校项目建设，在政策、资金等方面支持力度大；学校制定并落实了《项目实施管理办法》《项目经费管理实施细则》等制度；资金的管理坚持突出重点，统筹安排，注重效益；坚持经济效益和社会效益并重，促进了职业教育多元化、社会化和产业化发展。项目资金拨付均能根据预算方案的安排、领导的批示或会议纪要来确定支出的额度，并实行了</w:t>
      </w:r>
      <w:r>
        <w:rPr>
          <w:rFonts w:hint="eastAsia" w:ascii="仿宋" w:hAnsi="仿宋" w:eastAsia="仿宋" w:cs="Times New Roman"/>
          <w:bCs/>
          <w:sz w:val="30"/>
          <w:szCs w:val="30"/>
        </w:rPr>
        <w:t>联审会签程序</w:t>
      </w:r>
      <w:r>
        <w:rPr>
          <w:rFonts w:hint="eastAsia" w:ascii="仿宋" w:hAnsi="仿宋" w:eastAsia="仿宋" w:cs="Times New Roman"/>
          <w:sz w:val="30"/>
          <w:szCs w:val="30"/>
        </w:rPr>
        <w:t>，保障了资金的公开透明。</w:t>
      </w:r>
      <w:r>
        <w:rPr>
          <w:rFonts w:hint="eastAsia" w:ascii="仿宋" w:hAnsi="仿宋" w:eastAsia="仿宋" w:cs="Times New Roman"/>
          <w:sz w:val="30"/>
          <w:szCs w:val="30"/>
          <w:lang w:val="en-US"/>
        </w:rPr>
        <w:t>2020</w:t>
      </w:r>
      <w:r>
        <w:rPr>
          <w:rFonts w:hint="eastAsia" w:ascii="仿宋" w:hAnsi="仿宋" w:eastAsia="仿宋" w:cs="Times New Roman"/>
          <w:sz w:val="30"/>
          <w:szCs w:val="30"/>
        </w:rPr>
        <w:t>年建设年度，按计划应投入专项资金1193万元，其中地方财政投入600万元，举办者投入433万元，行业企业投入40万元，其它投入120万元。实际投入1195万元，其中地方财政投入632万元，举办者投入435万元，行业企业投入34万元，其它投入94万元。建设资金能做到专款专用，单独设账，其中特色专业群建设797万元、教师队伍建设193万元、治理能力建设155万元、特色项目建设50万元。（具体使用情况见附表）</w:t>
      </w:r>
    </w:p>
    <w:p>
      <w:pPr>
        <w:spacing w:line="360" w:lineRule="auto"/>
        <w:ind w:firstLine="602" w:firstLineChars="200"/>
        <w:jc w:val="both"/>
        <w:rPr>
          <w:rFonts w:ascii="楷体_GB2312" w:hAnsi="仿宋" w:eastAsia="楷体_GB2312" w:cs="Times New Roman"/>
          <w:b/>
          <w:bCs/>
          <w:sz w:val="30"/>
          <w:szCs w:val="30"/>
          <w:lang w:val="en-US"/>
        </w:rPr>
      </w:pPr>
      <w:r>
        <w:rPr>
          <w:rFonts w:hint="eastAsia" w:ascii="楷体_GB2312" w:hAnsi="仿宋" w:eastAsia="楷体_GB2312" w:cs="Times New Roman"/>
          <w:b/>
          <w:bCs/>
          <w:sz w:val="30"/>
          <w:szCs w:val="30"/>
          <w:lang w:val="en-US"/>
        </w:rPr>
        <w:t>（二）构建了“135”发展战略，成效显著。</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1.围绕“一个核心”。</w:t>
      </w:r>
      <w:r>
        <w:rPr>
          <w:rFonts w:hint="eastAsia" w:ascii="仿宋" w:hAnsi="仿宋" w:eastAsia="仿宋"/>
          <w:sz w:val="30"/>
          <w:szCs w:val="30"/>
        </w:rPr>
        <w:t>学校始终坚持以 “立德树人”为核心，以教学思政为主线，以创建卓越校为契机，学校确立了“135”发展战略目标，全体职教人紧紧围绕这一发展战略，认真落实《中等职业教育德育大纲》，践行《中等职业学校学生公约》，构建全员、全过程、全方位育人机制、促进学生全面发展。学校以社团活动为载体，以“五有”（有爱国情怀、有安全意识、有是非观念、有规矩意识、有文明习惯）为目标、以增强“四个意识”（心理健康、消防安全、防校园欺凌、防溺水意识）为工作重心，积极搭建社团平台、组织开展各种活动。今年创新成立了“道德讲坛”，组织开展省级德育系列活动6次。《中职“3+2”德育工作模式研究》被立项为省级课题，学校“名班主任工作室”建设启动。通过这些德育活动的开展，收效明显。学校安全、稳定、和谐，今年继续评定为“安全文明校园”，并获省 “文明风采活动优秀组织奖”。</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2.抓住“三个重点”。</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（1）以特色专业群建设为重点，推进校企合作、产教融合。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是与桂阳慧慧智能科技有限公司、郴州津地本电子有限公司签订了“现代学徒制校企合作协议”，校内工厂增加两条SMT电子产品生产线，对接园区的龙头企业雅晶源电子开设了一个新的实践教学基地。加强了省重点专业群</w:t>
      </w:r>
      <w:r>
        <w:rPr>
          <w:rFonts w:ascii="仿宋" w:hAnsi="仿宋" w:eastAsia="仿宋"/>
          <w:sz w:val="30"/>
          <w:szCs w:val="30"/>
        </w:rPr>
        <w:t>—</w:t>
      </w:r>
      <w:r>
        <w:rPr>
          <w:rFonts w:hint="eastAsia" w:ascii="仿宋" w:hAnsi="仿宋" w:eastAsia="仿宋"/>
          <w:sz w:val="30"/>
          <w:szCs w:val="30"/>
        </w:rPr>
        <w:t>电子</w:t>
      </w:r>
      <w:r>
        <w:rPr>
          <w:rFonts w:ascii="仿宋" w:hAnsi="仿宋" w:eastAsia="仿宋"/>
          <w:sz w:val="30"/>
          <w:szCs w:val="30"/>
        </w:rPr>
        <w:t>信息专业群</w:t>
      </w:r>
      <w:r>
        <w:rPr>
          <w:rFonts w:hint="eastAsia" w:ascii="仿宋" w:hAnsi="仿宋" w:eastAsia="仿宋"/>
          <w:sz w:val="30"/>
          <w:szCs w:val="30"/>
        </w:rPr>
        <w:t>和市重点专业群—</w:t>
      </w:r>
      <w:r>
        <w:rPr>
          <w:rFonts w:ascii="仿宋" w:hAnsi="仿宋" w:eastAsia="仿宋"/>
          <w:sz w:val="30"/>
          <w:szCs w:val="30"/>
        </w:rPr>
        <w:t>加工制造类专业群</w:t>
      </w:r>
      <w:r>
        <w:rPr>
          <w:rFonts w:hint="eastAsia" w:ascii="仿宋" w:hAnsi="仿宋" w:eastAsia="仿宋"/>
          <w:sz w:val="30"/>
          <w:szCs w:val="30"/>
        </w:rPr>
        <w:t>的建设。《县域中职学校“现代学徒制”教学模式的研究》和《让“创业与创客”教育在中职学校落地实操的研究》两个省级教育教学改革研究项目验收合格。</w:t>
      </w: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二是充分发挥学校专业优势，切准区域经济发展脉搏。学校以服务本地区域经济建设为目标，以桂阳县工业园区人才需求为切入点，实施“请进来、走出去、融起来”的产教融合之路。通过 “校中厂”，建立了“订单班”，为推进“现代学徒制”的试点工作，修订了现代学徒制班的人才培养方案，使校企双主体育人机制更加切合实际，真正地实现了校企共赢。通过“厂中校”，将课堂办到了园区内，生产与学习合一，达到学以致用的目的。通过“融起来”，校企双方共同开发校本课程，共同制定课程标准和人才培养方案。实现了专业设置与产业需求、课程标准与职业标准、教学过程与生产过程、毕业证书与职业资格证书无缝对接。为培养合格的技术技能人才，作出了重大贡献。  </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（2）以“双师型”教师培养为重点，打造专业过硬的教师团队。</w:t>
      </w:r>
    </w:p>
    <w:p>
      <w:pPr>
        <w:spacing w:line="360" w:lineRule="auto"/>
        <w:ind w:firstLine="602" w:firstLineChars="200"/>
        <w:rPr>
          <w:rFonts w:ascii="仿宋" w:hAnsi="仿宋" w:eastAsia="仿宋"/>
          <w:sz w:val="30"/>
          <w:szCs w:val="30"/>
        </w:rPr>
      </w:pPr>
      <w:r>
        <w:rPr>
          <w:rFonts w:ascii="仿宋" w:hAnsi="仿宋" w:eastAsia="仿宋"/>
          <w:b/>
          <w:sz w:val="30"/>
          <w:szCs w:val="30"/>
        </w:rPr>
        <w:fldChar w:fldCharType="begin"/>
      </w:r>
      <w:r>
        <w:rPr>
          <w:rFonts w:ascii="仿宋" w:hAnsi="仿宋" w:eastAsia="仿宋"/>
          <w:b/>
          <w:sz w:val="30"/>
          <w:szCs w:val="30"/>
        </w:rPr>
        <w:instrText xml:space="preserve"> </w:instrText>
      </w:r>
      <w:r>
        <w:rPr>
          <w:rFonts w:hint="eastAsia" w:ascii="仿宋" w:hAnsi="仿宋" w:eastAsia="仿宋"/>
          <w:b/>
          <w:sz w:val="30"/>
          <w:szCs w:val="30"/>
        </w:rPr>
        <w:instrText xml:space="preserve">= 1 \* GB3</w:instrText>
      </w:r>
      <w:r>
        <w:rPr>
          <w:rFonts w:ascii="仿宋" w:hAnsi="仿宋" w:eastAsia="仿宋"/>
          <w:b/>
          <w:sz w:val="30"/>
          <w:szCs w:val="30"/>
        </w:rPr>
        <w:instrText xml:space="preserve"> </w:instrText>
      </w:r>
      <w:r>
        <w:rPr>
          <w:rFonts w:ascii="仿宋" w:hAnsi="仿宋" w:eastAsia="仿宋"/>
          <w:b/>
          <w:sz w:val="30"/>
          <w:szCs w:val="30"/>
        </w:rPr>
        <w:fldChar w:fldCharType="separate"/>
      </w:r>
      <w:r>
        <w:rPr>
          <w:rFonts w:hint="eastAsia" w:ascii="仿宋" w:hAnsi="仿宋" w:eastAsia="仿宋"/>
          <w:b/>
          <w:sz w:val="30"/>
          <w:szCs w:val="30"/>
        </w:rPr>
        <w:t>①</w:t>
      </w:r>
      <w:r>
        <w:rPr>
          <w:rFonts w:ascii="仿宋" w:hAnsi="仿宋" w:eastAsia="仿宋"/>
          <w:b/>
          <w:sz w:val="30"/>
          <w:szCs w:val="30"/>
        </w:rPr>
        <w:fldChar w:fldCharType="end"/>
      </w:r>
      <w:r>
        <w:rPr>
          <w:rFonts w:hint="eastAsia" w:ascii="仿宋" w:hAnsi="仿宋" w:eastAsia="仿宋"/>
          <w:b/>
          <w:sz w:val="30"/>
          <w:szCs w:val="30"/>
        </w:rPr>
        <w:t>加大引进专业教师力度。</w:t>
      </w:r>
      <w:r>
        <w:rPr>
          <w:rFonts w:hint="eastAsia" w:ascii="仿宋" w:hAnsi="仿宋" w:eastAsia="仿宋"/>
          <w:sz w:val="30"/>
          <w:szCs w:val="30"/>
        </w:rPr>
        <w:t>针对我县职教规模的不断扩大，专业教师紧缺的情况，县委、县政府出台了《桂阳县教师引进办法》，采取了“考、借、调、聘”等形式，加大了师资引进力度，近三年来从本科院校带编招聘专业教师168人，本年度，我校共招聘本科毕业生13人，新增专业教师11人，我校现有教师255人，有专业教师136人，县初聘骨干教师48人。</w:t>
      </w:r>
    </w:p>
    <w:p>
      <w:pPr>
        <w:spacing w:line="360" w:lineRule="auto"/>
        <w:ind w:firstLine="602" w:firstLineChars="200"/>
        <w:rPr>
          <w:rFonts w:ascii="仿宋" w:hAnsi="仿宋" w:eastAsia="仿宋"/>
          <w:sz w:val="30"/>
          <w:szCs w:val="30"/>
        </w:rPr>
      </w:pPr>
      <w:r>
        <w:rPr>
          <w:rFonts w:ascii="仿宋" w:hAnsi="仿宋" w:eastAsia="仿宋"/>
          <w:b/>
          <w:sz w:val="30"/>
          <w:szCs w:val="30"/>
        </w:rPr>
        <w:fldChar w:fldCharType="begin"/>
      </w:r>
      <w:r>
        <w:rPr>
          <w:rFonts w:ascii="仿宋" w:hAnsi="仿宋" w:eastAsia="仿宋"/>
          <w:b/>
          <w:sz w:val="30"/>
          <w:szCs w:val="30"/>
        </w:rPr>
        <w:instrText xml:space="preserve"> </w:instrText>
      </w:r>
      <w:r>
        <w:rPr>
          <w:rFonts w:hint="eastAsia" w:ascii="仿宋" w:hAnsi="仿宋" w:eastAsia="仿宋"/>
          <w:b/>
          <w:sz w:val="30"/>
          <w:szCs w:val="30"/>
        </w:rPr>
        <w:instrText xml:space="preserve">= 2.3 \* GB3</w:instrText>
      </w:r>
      <w:r>
        <w:rPr>
          <w:rFonts w:ascii="仿宋" w:hAnsi="仿宋" w:eastAsia="仿宋"/>
          <w:b/>
          <w:sz w:val="30"/>
          <w:szCs w:val="30"/>
        </w:rPr>
        <w:instrText xml:space="preserve"> </w:instrText>
      </w:r>
      <w:r>
        <w:rPr>
          <w:rFonts w:ascii="仿宋" w:hAnsi="仿宋" w:eastAsia="仿宋"/>
          <w:b/>
          <w:sz w:val="30"/>
          <w:szCs w:val="30"/>
        </w:rPr>
        <w:fldChar w:fldCharType="separate"/>
      </w:r>
      <w:r>
        <w:rPr>
          <w:rFonts w:hint="eastAsia" w:ascii="仿宋" w:hAnsi="仿宋" w:eastAsia="仿宋"/>
          <w:b/>
          <w:sz w:val="30"/>
          <w:szCs w:val="30"/>
        </w:rPr>
        <w:t>②</w:t>
      </w:r>
      <w:r>
        <w:rPr>
          <w:rFonts w:ascii="仿宋" w:hAnsi="仿宋" w:eastAsia="仿宋"/>
          <w:b/>
          <w:sz w:val="30"/>
          <w:szCs w:val="30"/>
        </w:rPr>
        <w:fldChar w:fldCharType="end"/>
      </w:r>
      <w:r>
        <w:rPr>
          <w:rFonts w:hint="eastAsia" w:ascii="仿宋" w:hAnsi="仿宋" w:eastAsia="仿宋"/>
          <w:b/>
          <w:sz w:val="30"/>
          <w:szCs w:val="30"/>
        </w:rPr>
        <w:t>多形式提高教师素质。</w:t>
      </w:r>
      <w:r>
        <w:rPr>
          <w:rFonts w:hint="eastAsia" w:ascii="仿宋" w:hAnsi="仿宋" w:eastAsia="仿宋"/>
          <w:sz w:val="30"/>
          <w:szCs w:val="30"/>
        </w:rPr>
        <w:t>我校共参加骨干专业课教师省级培训12人次，参加市级培训26人次，大大提高了我校教师专业技能水平。</w:t>
      </w:r>
      <w:r>
        <w:rPr>
          <w:rFonts w:ascii="仿宋" w:hAnsi="仿宋" w:eastAsia="仿宋"/>
          <w:sz w:val="30"/>
          <w:szCs w:val="30"/>
        </w:rPr>
        <w:t>通过新教师考核、青蓝工程、青年教师技能（说课）竞赛等活动，给青年教师</w:t>
      </w:r>
      <w:r>
        <w:rPr>
          <w:rFonts w:hint="eastAsia" w:ascii="仿宋" w:hAnsi="仿宋" w:eastAsia="仿宋"/>
          <w:sz w:val="30"/>
          <w:szCs w:val="30"/>
        </w:rPr>
        <w:t>提供了</w:t>
      </w:r>
      <w:r>
        <w:rPr>
          <w:rFonts w:ascii="仿宋" w:hAnsi="仿宋" w:eastAsia="仿宋"/>
          <w:sz w:val="30"/>
          <w:szCs w:val="30"/>
        </w:rPr>
        <w:t>充分展示的舞台和平台</w:t>
      </w:r>
      <w:r>
        <w:rPr>
          <w:rFonts w:hint="eastAsia" w:ascii="仿宋" w:hAnsi="仿宋" w:eastAsia="仿宋"/>
          <w:sz w:val="30"/>
          <w:szCs w:val="30"/>
        </w:rPr>
        <w:t>，锻炼培养了年轻教师。还通过请专家学者或具有丰富实践经验的技术人员来校作专题讲座，本年度共讲座2次，效果良好。</w:t>
      </w:r>
    </w:p>
    <w:p>
      <w:pPr>
        <w:spacing w:line="360" w:lineRule="auto"/>
        <w:ind w:firstLine="602" w:firstLineChars="200"/>
        <w:rPr>
          <w:rFonts w:ascii="仿宋" w:hAnsi="仿宋" w:eastAsia="仿宋"/>
          <w:sz w:val="30"/>
          <w:szCs w:val="30"/>
        </w:rPr>
      </w:pPr>
      <w:r>
        <w:rPr>
          <w:rFonts w:ascii="仿宋" w:hAnsi="仿宋" w:eastAsia="仿宋"/>
          <w:b/>
          <w:sz w:val="30"/>
          <w:szCs w:val="30"/>
        </w:rPr>
        <w:fldChar w:fldCharType="begin"/>
      </w:r>
      <w:r>
        <w:rPr>
          <w:rFonts w:ascii="仿宋" w:hAnsi="仿宋" w:eastAsia="仿宋"/>
          <w:b/>
          <w:sz w:val="30"/>
          <w:szCs w:val="30"/>
        </w:rPr>
        <w:instrText xml:space="preserve"> </w:instrText>
      </w:r>
      <w:r>
        <w:rPr>
          <w:rFonts w:hint="eastAsia" w:ascii="仿宋" w:hAnsi="仿宋" w:eastAsia="仿宋"/>
          <w:b/>
          <w:sz w:val="30"/>
          <w:szCs w:val="30"/>
        </w:rPr>
        <w:instrText xml:space="preserve">= 3 \* GB3</w:instrText>
      </w:r>
      <w:r>
        <w:rPr>
          <w:rFonts w:ascii="仿宋" w:hAnsi="仿宋" w:eastAsia="仿宋"/>
          <w:b/>
          <w:sz w:val="30"/>
          <w:szCs w:val="30"/>
        </w:rPr>
        <w:instrText xml:space="preserve"> </w:instrText>
      </w:r>
      <w:r>
        <w:rPr>
          <w:rFonts w:ascii="仿宋" w:hAnsi="仿宋" w:eastAsia="仿宋"/>
          <w:b/>
          <w:sz w:val="30"/>
          <w:szCs w:val="30"/>
        </w:rPr>
        <w:fldChar w:fldCharType="separate"/>
      </w:r>
      <w:r>
        <w:rPr>
          <w:rFonts w:hint="eastAsia" w:ascii="仿宋" w:hAnsi="仿宋" w:eastAsia="仿宋"/>
          <w:b/>
          <w:sz w:val="30"/>
          <w:szCs w:val="30"/>
        </w:rPr>
        <w:t>③</w:t>
      </w:r>
      <w:r>
        <w:rPr>
          <w:rFonts w:ascii="仿宋" w:hAnsi="仿宋" w:eastAsia="仿宋"/>
          <w:b/>
          <w:sz w:val="30"/>
          <w:szCs w:val="30"/>
        </w:rPr>
        <w:fldChar w:fldCharType="end"/>
      </w:r>
      <w:r>
        <w:rPr>
          <w:rFonts w:hint="eastAsia" w:ascii="仿宋" w:hAnsi="仿宋" w:eastAsia="仿宋"/>
          <w:b/>
          <w:sz w:val="30"/>
          <w:szCs w:val="30"/>
        </w:rPr>
        <w:t>全方位培养双师型教师。</w:t>
      </w:r>
      <w:r>
        <w:rPr>
          <w:rFonts w:hint="eastAsia" w:ascii="仿宋" w:hAnsi="仿宋" w:eastAsia="仿宋"/>
          <w:sz w:val="30"/>
          <w:szCs w:val="30"/>
        </w:rPr>
        <w:t>学校严格落实专业课教师每两年到企业或生产服务一线实践两个月的规定，充分利用寒暑假时间，抽调部分专业教师深入生产第一线，接受一段时间的实践锻炼，了解企业现代生产、管理过程，体验企业生产氛围，探讨解决教学中遇到的疑难问题，提高实践操作能力。本年度学校选派姚瑞红、朱文方、朱江等12位教师在工业园区青兰电子、慧慧电子等企业进行实践，提高了教师的职业素养和技术水平。另外，学校还利用校企合作，扩大兼职教师比例。从合作企业一线技术骨干中选拔聘请能工巧匠、技术骨干12人为兼职教师，其中电子类6人，信息类4人，机械加工类2人，形成了学校稳定的兼职教师队伍，大大提高了“双元育人”的运行机制的效能。</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（3）以治理能力提升为重点，抓好学校精细化管理体系建设。</w:t>
      </w:r>
    </w:p>
    <w:p>
      <w:pPr>
        <w:spacing w:line="360" w:lineRule="auto"/>
        <w:ind w:firstLine="750" w:firstLineChars="250"/>
        <w:rPr>
          <w:rFonts w:ascii="仿宋" w:hAnsi="仿宋" w:eastAsia="仿宋"/>
          <w:sz w:val="30"/>
          <w:szCs w:val="30"/>
        </w:rPr>
      </w:pPr>
      <w:r>
        <w:rPr>
          <w:rFonts w:ascii="仿宋" w:hAnsi="仿宋" w:eastAsia="仿宋"/>
          <w:sz w:val="30"/>
          <w:szCs w:val="30"/>
        </w:rPr>
        <w:t>学校推进依法治校，</w:t>
      </w:r>
      <w:r>
        <w:rPr>
          <w:rFonts w:hint="eastAsia" w:ascii="仿宋" w:hAnsi="仿宋" w:eastAsia="仿宋"/>
          <w:sz w:val="30"/>
          <w:szCs w:val="30"/>
        </w:rPr>
        <w:t>加强党对教育的全面领导，</w:t>
      </w:r>
      <w:r>
        <w:rPr>
          <w:rFonts w:ascii="仿宋" w:hAnsi="仿宋" w:eastAsia="仿宋"/>
          <w:sz w:val="30"/>
          <w:szCs w:val="30"/>
        </w:rPr>
        <w:t>充分发挥党组织的核心作用</w:t>
      </w:r>
      <w:r>
        <w:rPr>
          <w:rFonts w:hint="eastAsia" w:ascii="仿宋" w:hAnsi="仿宋" w:eastAsia="仿宋"/>
          <w:sz w:val="30"/>
          <w:szCs w:val="30"/>
        </w:rPr>
        <w:t>，建立健全教学、政教、后勤、财务、安全等管理制度，形成统筹有力、职责明确、相互联系、相互制约的现代学校治理体系，发挥民主作用，完善监管机制、实施重大事项决策听证制度和行业咨询制度，</w:t>
      </w:r>
      <w:r>
        <w:rPr>
          <w:rFonts w:ascii="仿宋" w:hAnsi="仿宋" w:eastAsia="仿宋"/>
          <w:sz w:val="30"/>
          <w:szCs w:val="30"/>
        </w:rPr>
        <w:t>进一步完善内控</w:t>
      </w:r>
      <w:r>
        <w:rPr>
          <w:rFonts w:hint="eastAsia" w:ascii="仿宋" w:hAnsi="仿宋" w:eastAsia="仿宋"/>
          <w:sz w:val="30"/>
          <w:szCs w:val="30"/>
        </w:rPr>
        <w:t>机制</w:t>
      </w:r>
      <w:r>
        <w:rPr>
          <w:rFonts w:ascii="仿宋" w:hAnsi="仿宋" w:eastAsia="仿宋"/>
          <w:sz w:val="30"/>
          <w:szCs w:val="30"/>
        </w:rPr>
        <w:t>，三公经费管理严格</w:t>
      </w:r>
      <w:r>
        <w:rPr>
          <w:rFonts w:hint="eastAsia" w:ascii="仿宋" w:hAnsi="仿宋" w:eastAsia="仿宋"/>
          <w:sz w:val="30"/>
          <w:szCs w:val="30"/>
        </w:rPr>
        <w:t>，确保学校安全稳定，无负面</w:t>
      </w:r>
      <w:r>
        <w:rPr>
          <w:rFonts w:hint="eastAsia" w:ascii="仿宋" w:hAnsi="仿宋" w:eastAsia="仿宋"/>
          <w:sz w:val="30"/>
          <w:szCs w:val="30"/>
          <w:lang w:val="en-US" w:eastAsia="zh-CN"/>
        </w:rPr>
        <w:t>舆论</w:t>
      </w:r>
      <w:r>
        <w:rPr>
          <w:rFonts w:hint="eastAsia" w:ascii="仿宋" w:hAnsi="仿宋" w:eastAsia="仿宋"/>
          <w:sz w:val="30"/>
          <w:szCs w:val="30"/>
        </w:rPr>
        <w:t>事件。</w:t>
      </w:r>
    </w:p>
    <w:p>
      <w:pPr>
        <w:spacing w:line="360" w:lineRule="auto"/>
        <w:ind w:firstLine="750" w:firstLineChars="250"/>
        <w:rPr>
          <w:rFonts w:ascii="仿宋" w:hAnsi="仿宋" w:eastAsia="仿宋"/>
          <w:sz w:val="30"/>
          <w:szCs w:val="30"/>
        </w:rPr>
      </w:pPr>
      <w:r>
        <w:rPr>
          <w:rFonts w:hint="eastAsia" w:ascii="仿宋" w:hAnsi="仿宋" w:eastAsia="仿宋"/>
          <w:sz w:val="30"/>
          <w:szCs w:val="30"/>
        </w:rPr>
        <w:t xml:space="preserve">以电子信息专业群为改革试点，成立了高职院校专家、企业技术骨干、校内专业带头人等组成的电子信息专业群专业建设指导委员会，进行了人才培养方案修订，率先实现“三教改革”，进行了“校企合作，产教融合”的规划、研究、推广，建立了质量检测，教学诊断与改进机制，形成了新的教育治理新格局。 </w:t>
      </w:r>
    </w:p>
    <w:p>
      <w:pPr>
        <w:spacing w:line="360" w:lineRule="auto"/>
        <w:ind w:firstLine="753" w:firstLineChars="250"/>
        <w:rPr>
          <w:rFonts w:ascii="仿宋" w:hAnsi="仿宋" w:eastAsia="仿宋"/>
          <w:b/>
          <w:sz w:val="30"/>
          <w:szCs w:val="30"/>
        </w:rPr>
      </w:pPr>
      <w:r>
        <w:rPr>
          <w:rFonts w:hint="eastAsia" w:ascii="仿宋" w:hAnsi="仿宋" w:eastAsia="仿宋"/>
          <w:b/>
          <w:sz w:val="30"/>
          <w:szCs w:val="30"/>
        </w:rPr>
        <w:t>3.实现“五大目标”。</w:t>
      </w:r>
    </w:p>
    <w:p>
      <w:pPr>
        <w:pStyle w:val="5"/>
        <w:spacing w:line="360" w:lineRule="auto"/>
        <w:ind w:firstLine="602" w:firstLineChars="200"/>
        <w:rPr>
          <w:rFonts w:ascii="仿宋" w:hAnsi="仿宋" w:eastAsia="仿宋"/>
          <w:sz w:val="30"/>
          <w:szCs w:val="30"/>
        </w:rPr>
      </w:pPr>
      <w:r>
        <w:rPr>
          <w:rFonts w:hint="eastAsia" w:ascii="仿宋" w:hAnsi="仿宋" w:eastAsia="仿宋"/>
          <w:b/>
          <w:sz w:val="30"/>
          <w:szCs w:val="30"/>
        </w:rPr>
        <w:t>（1）办学定位准确。</w:t>
      </w:r>
      <w:r>
        <w:rPr>
          <w:rFonts w:hint="eastAsia" w:ascii="仿宋" w:hAnsi="仿宋" w:eastAsia="仿宋"/>
          <w:sz w:val="30"/>
          <w:szCs w:val="30"/>
        </w:rPr>
        <w:t>学校坚持以就业创业为导向，以服务发展为宗旨，努力构建现代职业教育体系，以“校企一体、工学交替、产教融合、订单培养”为培养模式，依托专业建设，实施“职业（学历）教育与职业（资格）培训并举，产业教育与教育产业并重”的职业教育方针，培养了一大批为社会建设服务、为人民服务，与生产劳动和社会实践相结合的德智体美劳全面发展的社会主义建设者和接班人。</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（2）专业特色鲜明。</w:t>
      </w:r>
      <w:r>
        <w:rPr>
          <w:rFonts w:hint="eastAsia" w:ascii="仿宋" w:hAnsi="仿宋" w:eastAsia="仿宋"/>
          <w:sz w:val="30"/>
          <w:szCs w:val="30"/>
        </w:rPr>
        <w:t>学校对接我县经济“转方式、调结构、促升级”的需求，打造专业特色。首先，学校围绕电子信息专业群和</w:t>
      </w:r>
      <w:r>
        <w:rPr>
          <w:rFonts w:ascii="仿宋" w:hAnsi="仿宋" w:eastAsia="仿宋"/>
          <w:sz w:val="30"/>
          <w:szCs w:val="30"/>
        </w:rPr>
        <w:t>加工制造类专业群</w:t>
      </w:r>
      <w:r>
        <w:rPr>
          <w:rFonts w:hint="eastAsia" w:ascii="仿宋" w:hAnsi="仿宋" w:eastAsia="仿宋"/>
          <w:sz w:val="30"/>
          <w:szCs w:val="30"/>
        </w:rPr>
        <w:t>两个重点专业群建设，对接县内园区企业项目和企业用工的实际，</w:t>
      </w:r>
      <w:r>
        <w:rPr>
          <w:rFonts w:hint="eastAsia" w:ascii="仿宋" w:hAnsi="仿宋" w:eastAsia="仿宋"/>
          <w:sz w:val="30"/>
          <w:szCs w:val="30"/>
          <w:lang w:val="en-US" w:eastAsia="zh-CN"/>
        </w:rPr>
        <w:t>调整</w:t>
      </w:r>
      <w:r>
        <w:rPr>
          <w:rFonts w:hint="eastAsia" w:ascii="仿宋" w:hAnsi="仿宋" w:eastAsia="仿宋"/>
          <w:sz w:val="30"/>
          <w:szCs w:val="30"/>
        </w:rPr>
        <w:t>了学校专业设置，停招了文秘专业，限招了服装设计专业，办好了</w:t>
      </w:r>
      <w:r>
        <w:rPr>
          <w:rFonts w:ascii="仿宋" w:hAnsi="仿宋" w:eastAsia="仿宋"/>
          <w:sz w:val="30"/>
          <w:szCs w:val="30"/>
        </w:rPr>
        <w:t>汽车</w:t>
      </w:r>
      <w:r>
        <w:rPr>
          <w:rFonts w:hint="eastAsia" w:ascii="仿宋" w:hAnsi="仿宋" w:eastAsia="仿宋"/>
          <w:sz w:val="30"/>
          <w:szCs w:val="30"/>
        </w:rPr>
        <w:t>电子技术应用专业（年度新招100人），新设了幼儿保育</w:t>
      </w:r>
      <w:r>
        <w:rPr>
          <w:rFonts w:ascii="仿宋" w:hAnsi="仿宋" w:eastAsia="仿宋"/>
          <w:sz w:val="30"/>
          <w:szCs w:val="30"/>
        </w:rPr>
        <w:t>等热门专业</w:t>
      </w:r>
      <w:r>
        <w:rPr>
          <w:rFonts w:hint="eastAsia" w:ascii="仿宋" w:hAnsi="仿宋" w:eastAsia="仿宋"/>
          <w:sz w:val="30"/>
          <w:szCs w:val="30"/>
        </w:rPr>
        <w:t>（年度新招150人）</w:t>
      </w:r>
      <w:r>
        <w:rPr>
          <w:rFonts w:ascii="仿宋" w:hAnsi="仿宋" w:eastAsia="仿宋"/>
          <w:sz w:val="30"/>
          <w:szCs w:val="30"/>
        </w:rPr>
        <w:t>，</w:t>
      </w:r>
      <w:r>
        <w:rPr>
          <w:rFonts w:hint="eastAsia" w:ascii="仿宋" w:hAnsi="仿宋" w:eastAsia="仿宋"/>
          <w:sz w:val="30"/>
          <w:szCs w:val="30"/>
        </w:rPr>
        <w:t>对接县域龙头企业、支柱产业智能家居产业园的楚荣家居、港艺家居等企业的人才需求，开设了家具设计与制作专业（年度新招100人），其次，加大了精品课程的建设力度，新建了省级精品课程3门、市级精品课程2门，新开发了2本校本教材和教辅资料，新建了智慧校园平台和1个数字化教学资源库。</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（3）就业优势突出。</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创新四种途径，扩大学生就业渠道。一是专业建在园区。优化专业结构，办好特色专业，做好与园区产业对接，做到学有所用。二是订单放在园区。实行用工对接。开展了“</w:t>
      </w:r>
      <w:r>
        <w:rPr>
          <w:rFonts w:ascii="仿宋" w:hAnsi="仿宋" w:eastAsia="仿宋"/>
          <w:sz w:val="30"/>
          <w:szCs w:val="30"/>
        </w:rPr>
        <w:t>订单</w:t>
      </w:r>
      <w:r>
        <w:rPr>
          <w:rFonts w:hint="eastAsia" w:ascii="仿宋" w:hAnsi="仿宋" w:eastAsia="仿宋"/>
          <w:sz w:val="30"/>
          <w:szCs w:val="30"/>
        </w:rPr>
        <w:t>培养”，为园区企业“量身定制”培养急需专业人才。三是培训落在园区。开展企业员工培训和县域劳动力转移培训，实行</w:t>
      </w:r>
      <w:r>
        <w:rPr>
          <w:rFonts w:ascii="仿宋" w:hAnsi="仿宋" w:eastAsia="仿宋"/>
          <w:sz w:val="30"/>
          <w:szCs w:val="30"/>
        </w:rPr>
        <w:t>学生与企业生产零距离对接的教学培养机制。</w:t>
      </w:r>
      <w:r>
        <w:rPr>
          <w:rFonts w:hint="eastAsia" w:ascii="仿宋" w:hAnsi="仿宋" w:eastAsia="仿宋"/>
          <w:sz w:val="30"/>
          <w:szCs w:val="30"/>
        </w:rPr>
        <w:t>四是“产学研”中心建在园区。县委县政府明确提出桂阳职校将在十四五规划中建成“一校三区、万人职中”，把产学研实践教学中心建在桂阳工业园“一园六区”的工业核心区。在</w:t>
      </w:r>
      <w:r>
        <w:rPr>
          <w:rFonts w:ascii="仿宋" w:hAnsi="仿宋" w:eastAsia="仿宋"/>
          <w:sz w:val="30"/>
          <w:szCs w:val="30"/>
        </w:rPr>
        <w:t>技术、生产、经营、管理等方面</w:t>
      </w:r>
      <w:r>
        <w:rPr>
          <w:rFonts w:hint="eastAsia" w:ascii="仿宋" w:hAnsi="仿宋" w:eastAsia="仿宋"/>
          <w:sz w:val="30"/>
          <w:szCs w:val="30"/>
        </w:rPr>
        <w:t>与园区企业深度合作</w:t>
      </w:r>
      <w:r>
        <w:rPr>
          <w:rFonts w:ascii="仿宋" w:hAnsi="仿宋" w:eastAsia="仿宋"/>
          <w:sz w:val="30"/>
          <w:szCs w:val="30"/>
        </w:rPr>
        <w:t>。</w:t>
      </w:r>
      <w:r>
        <w:rPr>
          <w:rFonts w:hint="eastAsia" w:ascii="仿宋" w:hAnsi="仿宋" w:eastAsia="仿宋"/>
          <w:sz w:val="30"/>
          <w:szCs w:val="30"/>
        </w:rPr>
        <w:t>通过</w:t>
      </w:r>
      <w:r>
        <w:rPr>
          <w:rFonts w:ascii="仿宋" w:hAnsi="仿宋" w:eastAsia="仿宋"/>
          <w:sz w:val="30"/>
          <w:szCs w:val="30"/>
        </w:rPr>
        <w:t>互派专业人员讲学、培训</w:t>
      </w:r>
      <w:r>
        <w:rPr>
          <w:rFonts w:hint="eastAsia" w:ascii="仿宋" w:hAnsi="仿宋" w:eastAsia="仿宋"/>
          <w:sz w:val="30"/>
          <w:szCs w:val="30"/>
        </w:rPr>
        <w:t>，</w:t>
      </w:r>
      <w:r>
        <w:rPr>
          <w:rFonts w:ascii="仿宋" w:hAnsi="仿宋" w:eastAsia="仿宋"/>
          <w:sz w:val="30"/>
          <w:szCs w:val="30"/>
        </w:rPr>
        <w:t>参与人才培养</w:t>
      </w:r>
      <w:r>
        <w:rPr>
          <w:rFonts w:hint="eastAsia" w:ascii="仿宋" w:hAnsi="仿宋" w:eastAsia="仿宋"/>
          <w:sz w:val="30"/>
          <w:szCs w:val="30"/>
        </w:rPr>
        <w:t>方案制订，共编校企合作教材等形式，</w:t>
      </w:r>
      <w:r>
        <w:rPr>
          <w:rFonts w:ascii="仿宋" w:hAnsi="仿宋" w:eastAsia="仿宋"/>
          <w:sz w:val="30"/>
          <w:szCs w:val="30"/>
        </w:rPr>
        <w:t>实现资源共享</w:t>
      </w:r>
      <w:r>
        <w:rPr>
          <w:rFonts w:hint="eastAsia" w:ascii="仿宋" w:hAnsi="仿宋" w:eastAsia="仿宋"/>
          <w:sz w:val="30"/>
          <w:szCs w:val="30"/>
        </w:rPr>
        <w:t>，达到校企共赢的目的。区域内企业就业优势非常明显，2020年我校1349名学生毕业，除入升大专院校305人外，直接参加就业达1044人，就业率达100%，其中园区就业率由原来的34%提高到65%。</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（4）社会服务能力强。</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学校重视社会培训工作。一是依托电子商务专业对全县各超市进行营业员培训，共培训了</w:t>
      </w:r>
      <w:r>
        <w:rPr>
          <w:rFonts w:ascii="仿宋" w:hAnsi="仿宋" w:eastAsia="仿宋"/>
          <w:sz w:val="30"/>
          <w:szCs w:val="30"/>
        </w:rPr>
        <w:t>6个班，180人，为桂阳电商协会培养电商主播120名，组织学员参加湖南卫视频道《我是带货王》，让学员成为一名真正的电商主播，成为产业发展销售主力军；通过创业培训，为桂阳县培养一大批自主创业人员，2020年</w:t>
      </w:r>
      <w:r>
        <w:rPr>
          <w:rFonts w:hint="eastAsia" w:ascii="仿宋" w:hAnsi="仿宋" w:eastAsia="仿宋"/>
          <w:sz w:val="30"/>
          <w:szCs w:val="30"/>
        </w:rPr>
        <w:t>，学校</w:t>
      </w:r>
      <w:r>
        <w:rPr>
          <w:rFonts w:ascii="仿宋" w:hAnsi="仿宋" w:eastAsia="仿宋"/>
          <w:sz w:val="30"/>
          <w:szCs w:val="30"/>
        </w:rPr>
        <w:t>创业培训开班14个，共计420人次，这些人都</w:t>
      </w:r>
      <w:r>
        <w:rPr>
          <w:rFonts w:hint="eastAsia" w:ascii="仿宋" w:hAnsi="仿宋" w:eastAsia="仿宋"/>
          <w:sz w:val="30"/>
          <w:szCs w:val="30"/>
          <w:lang w:val="en-US" w:eastAsia="zh-CN"/>
        </w:rPr>
        <w:t>加入</w:t>
      </w:r>
      <w:bookmarkStart w:id="0" w:name="_GoBack"/>
      <w:bookmarkEnd w:id="0"/>
      <w:r>
        <w:rPr>
          <w:rFonts w:ascii="仿宋" w:hAnsi="仿宋" w:eastAsia="仿宋"/>
          <w:sz w:val="30"/>
          <w:szCs w:val="30"/>
        </w:rPr>
        <w:t>到</w:t>
      </w:r>
      <w:r>
        <w:rPr>
          <w:rFonts w:hint="eastAsia" w:ascii="仿宋" w:hAnsi="仿宋" w:eastAsia="仿宋"/>
          <w:sz w:val="30"/>
          <w:szCs w:val="30"/>
        </w:rPr>
        <w:t>了</w:t>
      </w:r>
      <w:r>
        <w:rPr>
          <w:rFonts w:ascii="仿宋" w:hAnsi="仿宋" w:eastAsia="仿宋"/>
          <w:sz w:val="30"/>
          <w:szCs w:val="30"/>
        </w:rPr>
        <w:t>桂阳的本地创业大潮中，提供就业岗位5000多个。开展餐饮厨艺、家禽养殖、食品加工、烟草种植、水果培植等实用技能培训</w:t>
      </w:r>
      <w:r>
        <w:rPr>
          <w:rFonts w:hint="eastAsia" w:ascii="仿宋" w:hAnsi="仿宋" w:eastAsia="仿宋"/>
          <w:sz w:val="30"/>
          <w:szCs w:val="30"/>
        </w:rPr>
        <w:t>班</w:t>
      </w:r>
      <w:r>
        <w:rPr>
          <w:rFonts w:ascii="仿宋" w:hAnsi="仿宋" w:eastAsia="仿宋"/>
          <w:sz w:val="30"/>
          <w:szCs w:val="30"/>
        </w:rPr>
        <w:t>6期，让312名专业户的相关技能得到提升；</w:t>
      </w:r>
      <w:r>
        <w:rPr>
          <w:rFonts w:hint="eastAsia" w:ascii="仿宋" w:hAnsi="仿宋" w:eastAsia="仿宋"/>
          <w:sz w:val="30"/>
          <w:szCs w:val="30"/>
        </w:rPr>
        <w:t>二是工业园区企业开展“现代学徒制”培训，</w:t>
      </w:r>
      <w:r>
        <w:rPr>
          <w:rFonts w:ascii="仿宋" w:hAnsi="仿宋" w:eastAsia="仿宋"/>
          <w:sz w:val="30"/>
          <w:szCs w:val="30"/>
        </w:rPr>
        <w:t>本年度“送教入企”开展</w:t>
      </w:r>
      <w:r>
        <w:rPr>
          <w:rFonts w:hint="eastAsia" w:ascii="仿宋" w:hAnsi="仿宋" w:eastAsia="仿宋"/>
          <w:sz w:val="30"/>
          <w:szCs w:val="30"/>
        </w:rPr>
        <w:t>了</w:t>
      </w:r>
      <w:r>
        <w:rPr>
          <w:rFonts w:ascii="仿宋" w:hAnsi="仿宋" w:eastAsia="仿宋"/>
          <w:sz w:val="30"/>
          <w:szCs w:val="30"/>
        </w:rPr>
        <w:t>6</w:t>
      </w:r>
      <w:r>
        <w:rPr>
          <w:rFonts w:hint="eastAsia" w:ascii="仿宋" w:hAnsi="仿宋" w:eastAsia="仿宋"/>
          <w:sz w:val="30"/>
          <w:szCs w:val="30"/>
        </w:rPr>
        <w:t>次</w:t>
      </w:r>
      <w:r>
        <w:rPr>
          <w:rFonts w:ascii="仿宋" w:hAnsi="仿宋" w:eastAsia="仿宋"/>
          <w:sz w:val="30"/>
          <w:szCs w:val="30"/>
        </w:rPr>
        <w:t>专题培训</w:t>
      </w:r>
      <w:r>
        <w:rPr>
          <w:rFonts w:hint="eastAsia" w:ascii="仿宋" w:hAnsi="仿宋" w:eastAsia="仿宋"/>
          <w:sz w:val="30"/>
          <w:szCs w:val="30"/>
        </w:rPr>
        <w:t>，</w:t>
      </w:r>
      <w:r>
        <w:rPr>
          <w:rFonts w:ascii="仿宋" w:hAnsi="仿宋" w:eastAsia="仿宋"/>
          <w:sz w:val="30"/>
          <w:szCs w:val="30"/>
        </w:rPr>
        <w:t>共培训工人876人次。</w:t>
      </w:r>
      <w:r>
        <w:rPr>
          <w:rFonts w:hint="eastAsia" w:ascii="仿宋" w:hAnsi="仿宋" w:eastAsia="仿宋"/>
          <w:sz w:val="30"/>
          <w:szCs w:val="30"/>
        </w:rPr>
        <w:t>三是根据《关于在全县实施“农民大学生培养计划”的通知》精神，完成</w:t>
      </w:r>
      <w:r>
        <w:rPr>
          <w:rFonts w:ascii="仿宋" w:hAnsi="仿宋" w:eastAsia="仿宋"/>
          <w:sz w:val="30"/>
          <w:szCs w:val="30"/>
        </w:rPr>
        <w:t>2020年农民大学生805人</w:t>
      </w:r>
      <w:r>
        <w:rPr>
          <w:rFonts w:hint="eastAsia" w:ascii="仿宋" w:hAnsi="仿宋" w:eastAsia="仿宋"/>
          <w:sz w:val="30"/>
          <w:szCs w:val="30"/>
        </w:rPr>
        <w:t>的招收、培训工作</w:t>
      </w:r>
      <w:r>
        <w:rPr>
          <w:rFonts w:ascii="仿宋" w:hAnsi="仿宋" w:eastAsia="仿宋"/>
          <w:sz w:val="30"/>
          <w:szCs w:val="30"/>
        </w:rPr>
        <w:t>。</w:t>
      </w:r>
      <w:r>
        <w:rPr>
          <w:rFonts w:hint="eastAsia" w:ascii="仿宋" w:hAnsi="仿宋" w:eastAsia="仿宋"/>
          <w:sz w:val="30"/>
          <w:szCs w:val="30"/>
        </w:rPr>
        <w:t>四是培训全县在职教师2200人次。一年来，开展专技人员、职业技能、职教扶贫等各级各类培训达5137人次，较好地发挥了职业学校的社会服务功能。</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（5）综合水平领先。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通过一年的建设，学校综合能力得到全面提升，发挥了卓越校的引领和示范作用，办学特色突显：</w:t>
      </w:r>
    </w:p>
    <w:p>
      <w:pPr>
        <w:spacing w:line="360" w:lineRule="auto"/>
        <w:ind w:firstLine="600" w:firstLineChars="200"/>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w:instrText>
      </w:r>
      <w:r>
        <w:rPr>
          <w:rFonts w:hint="eastAsia" w:ascii="仿宋" w:hAnsi="仿宋" w:eastAsia="仿宋"/>
          <w:sz w:val="30"/>
          <w:szCs w:val="30"/>
        </w:rPr>
        <w:instrText xml:space="preserve">= 1 \* GB3</w:instrText>
      </w:r>
      <w:r>
        <w:rPr>
          <w:rFonts w:ascii="仿宋" w:hAnsi="仿宋" w:eastAsia="仿宋"/>
          <w:sz w:val="30"/>
          <w:szCs w:val="30"/>
        </w:rPr>
        <w:instrText xml:space="preserve"> </w:instrText>
      </w:r>
      <w:r>
        <w:rPr>
          <w:rFonts w:ascii="仿宋" w:hAnsi="仿宋" w:eastAsia="仿宋"/>
          <w:sz w:val="30"/>
          <w:szCs w:val="30"/>
        </w:rPr>
        <w:fldChar w:fldCharType="separate"/>
      </w:r>
      <w:r>
        <w:rPr>
          <w:rFonts w:hint="eastAsia" w:ascii="仿宋" w:hAnsi="仿宋" w:eastAsia="仿宋"/>
          <w:sz w:val="30"/>
          <w:szCs w:val="30"/>
        </w:rPr>
        <w:t>①</w:t>
      </w:r>
      <w:r>
        <w:rPr>
          <w:rFonts w:ascii="仿宋" w:hAnsi="仿宋" w:eastAsia="仿宋"/>
          <w:sz w:val="30"/>
          <w:szCs w:val="30"/>
        </w:rPr>
        <w:fldChar w:fldCharType="end"/>
      </w:r>
      <w:r>
        <w:rPr>
          <w:rFonts w:hint="eastAsia" w:ascii="仿宋" w:hAnsi="仿宋" w:eastAsia="仿宋"/>
          <w:sz w:val="30"/>
          <w:szCs w:val="30"/>
        </w:rPr>
        <w:t>强化基础建设，办学能力得到提升。2020年4月，投入3600万元，学校启动二期工程建设，新建学生宿舍和教师周转房10326平方米； 2020年5月预计投入1.75亿元规划改扩建老职校；为了更好地开展全县中小学生实操实训和学生劳动，2021年4月，县委县政府已规划、启动在县工业园区投入1.2亿，建设一个“综合性实践教学基地”。</w:t>
      </w:r>
    </w:p>
    <w:p>
      <w:pPr>
        <w:spacing w:line="360" w:lineRule="auto"/>
        <w:ind w:firstLine="600" w:firstLineChars="200"/>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w:instrText>
      </w:r>
      <w:r>
        <w:rPr>
          <w:rFonts w:hint="eastAsia" w:ascii="仿宋" w:hAnsi="仿宋" w:eastAsia="仿宋"/>
          <w:sz w:val="30"/>
          <w:szCs w:val="30"/>
        </w:rPr>
        <w:instrText xml:space="preserve">= 2 \* GB3</w:instrText>
      </w:r>
      <w:r>
        <w:rPr>
          <w:rFonts w:ascii="仿宋" w:hAnsi="仿宋" w:eastAsia="仿宋"/>
          <w:sz w:val="30"/>
          <w:szCs w:val="30"/>
        </w:rPr>
        <w:instrText xml:space="preserve"> </w:instrText>
      </w:r>
      <w:r>
        <w:rPr>
          <w:rFonts w:ascii="仿宋" w:hAnsi="仿宋" w:eastAsia="仿宋"/>
          <w:sz w:val="30"/>
          <w:szCs w:val="30"/>
        </w:rPr>
        <w:fldChar w:fldCharType="separate"/>
      </w:r>
      <w:r>
        <w:rPr>
          <w:rFonts w:hint="eastAsia" w:ascii="仿宋" w:hAnsi="仿宋" w:eastAsia="仿宋"/>
          <w:sz w:val="30"/>
          <w:szCs w:val="30"/>
        </w:rPr>
        <w:t>②</w:t>
      </w:r>
      <w:r>
        <w:rPr>
          <w:rFonts w:ascii="仿宋" w:hAnsi="仿宋" w:eastAsia="仿宋"/>
          <w:sz w:val="30"/>
          <w:szCs w:val="30"/>
        </w:rPr>
        <w:fldChar w:fldCharType="end"/>
      </w:r>
      <w:r>
        <w:rPr>
          <w:rFonts w:hint="eastAsia" w:ascii="仿宋" w:hAnsi="仿宋" w:eastAsia="仿宋"/>
          <w:sz w:val="30"/>
          <w:szCs w:val="30"/>
        </w:rPr>
        <w:t>强化科学管理，改革职业教育评价。配合省厅，做好2021年“局长开局项目”—《职业学校评价改革试点》工作，建立健全职业学校评价体系建设，制定了《桂阳县职业学校评价改革试点实施方案》，围绕德技并修、产教融合、校企合作、育训结合、学生“1+X”证书、毕业生就业质量、“双师型”教师队伍建设等方面，建立基础性评价指标和发展性评价指标体系，落实《桂阳县中等职业教育发展性评价方案》，确保我县职业教育评价体系的科学规范化。</w:t>
      </w:r>
    </w:p>
    <w:p>
      <w:pPr>
        <w:spacing w:line="360" w:lineRule="auto"/>
        <w:ind w:firstLine="600" w:firstLineChars="200"/>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w:instrText>
      </w:r>
      <w:r>
        <w:rPr>
          <w:rFonts w:hint="eastAsia" w:ascii="仿宋" w:hAnsi="仿宋" w:eastAsia="仿宋"/>
          <w:sz w:val="30"/>
          <w:szCs w:val="30"/>
        </w:rPr>
        <w:instrText xml:space="preserve">= 3 \* GB3</w:instrText>
      </w:r>
      <w:r>
        <w:rPr>
          <w:rFonts w:ascii="仿宋" w:hAnsi="仿宋" w:eastAsia="仿宋"/>
          <w:sz w:val="30"/>
          <w:szCs w:val="30"/>
        </w:rPr>
        <w:instrText xml:space="preserve"> </w:instrText>
      </w:r>
      <w:r>
        <w:rPr>
          <w:rFonts w:ascii="仿宋" w:hAnsi="仿宋" w:eastAsia="仿宋"/>
          <w:sz w:val="30"/>
          <w:szCs w:val="30"/>
        </w:rPr>
        <w:fldChar w:fldCharType="separate"/>
      </w:r>
      <w:r>
        <w:rPr>
          <w:rFonts w:hint="eastAsia" w:ascii="仿宋" w:hAnsi="仿宋" w:eastAsia="仿宋"/>
          <w:sz w:val="30"/>
          <w:szCs w:val="30"/>
        </w:rPr>
        <w:t>③</w:t>
      </w:r>
      <w:r>
        <w:rPr>
          <w:rFonts w:ascii="仿宋" w:hAnsi="仿宋" w:eastAsia="仿宋"/>
          <w:sz w:val="30"/>
          <w:szCs w:val="30"/>
        </w:rPr>
        <w:fldChar w:fldCharType="end"/>
      </w:r>
      <w:r>
        <w:rPr>
          <w:rFonts w:hint="eastAsia" w:ascii="仿宋" w:hAnsi="仿宋" w:eastAsia="仿宋"/>
          <w:sz w:val="30"/>
          <w:szCs w:val="30"/>
        </w:rPr>
        <w:t>搭建了“非正规教育”平台，助推了学校工作发展。学校 “把非正规教育”作为课堂正规教育的有力补充，通过非正规教育与正规教育互通、与社会生活互补、与实习实训融合、与终身教育相随，为全校师生提供更多的学习生活交流机会，有力地补充课堂正规教育的不足，加强学生综合素质和技能的全面提升。</w:t>
      </w:r>
    </w:p>
    <w:p>
      <w:pPr>
        <w:spacing w:line="360" w:lineRule="auto"/>
        <w:ind w:firstLine="600" w:firstLineChars="200"/>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w:instrText>
      </w:r>
      <w:r>
        <w:rPr>
          <w:rFonts w:hint="eastAsia" w:ascii="仿宋" w:hAnsi="仿宋" w:eastAsia="仿宋"/>
          <w:sz w:val="30"/>
          <w:szCs w:val="30"/>
        </w:rPr>
        <w:instrText xml:space="preserve">= 4 \* GB3</w:instrText>
      </w:r>
      <w:r>
        <w:rPr>
          <w:rFonts w:ascii="仿宋" w:hAnsi="仿宋" w:eastAsia="仿宋"/>
          <w:sz w:val="30"/>
          <w:szCs w:val="30"/>
        </w:rPr>
        <w:instrText xml:space="preserve"> </w:instrText>
      </w:r>
      <w:r>
        <w:rPr>
          <w:rFonts w:ascii="仿宋" w:hAnsi="仿宋" w:eastAsia="仿宋"/>
          <w:sz w:val="30"/>
          <w:szCs w:val="30"/>
        </w:rPr>
        <w:fldChar w:fldCharType="separate"/>
      </w:r>
      <w:r>
        <w:rPr>
          <w:rFonts w:hint="eastAsia" w:ascii="仿宋" w:hAnsi="仿宋" w:eastAsia="仿宋"/>
          <w:sz w:val="30"/>
          <w:szCs w:val="30"/>
        </w:rPr>
        <w:t>④</w:t>
      </w:r>
      <w:r>
        <w:rPr>
          <w:rFonts w:ascii="仿宋" w:hAnsi="仿宋" w:eastAsia="仿宋"/>
          <w:sz w:val="30"/>
          <w:szCs w:val="30"/>
        </w:rPr>
        <w:fldChar w:fldCharType="end"/>
      </w:r>
      <w:r>
        <w:rPr>
          <w:rFonts w:hint="eastAsia" w:ascii="仿宋" w:hAnsi="仿宋" w:eastAsia="仿宋"/>
          <w:sz w:val="30"/>
          <w:szCs w:val="30"/>
        </w:rPr>
        <w:t>建立学分银行，科学评价学生。为</w:t>
      </w:r>
      <w:r>
        <w:rPr>
          <w:rFonts w:ascii="仿宋" w:hAnsi="仿宋" w:eastAsia="仿宋"/>
          <w:sz w:val="30"/>
          <w:szCs w:val="30"/>
        </w:rPr>
        <w:t>转变学生综合素质评价理念</w:t>
      </w:r>
      <w:r>
        <w:rPr>
          <w:rFonts w:hint="eastAsia" w:ascii="仿宋" w:hAnsi="仿宋" w:eastAsia="仿宋"/>
          <w:sz w:val="30"/>
          <w:szCs w:val="30"/>
        </w:rPr>
        <w:t>，</w:t>
      </w:r>
      <w:r>
        <w:rPr>
          <w:rFonts w:ascii="仿宋" w:hAnsi="仿宋" w:eastAsia="仿宋"/>
          <w:sz w:val="30"/>
          <w:szCs w:val="30"/>
        </w:rPr>
        <w:t>健全学生综合素质评价模式</w:t>
      </w:r>
      <w:r>
        <w:rPr>
          <w:rFonts w:hint="eastAsia" w:ascii="仿宋" w:hAnsi="仿宋" w:eastAsia="仿宋"/>
          <w:sz w:val="30"/>
          <w:szCs w:val="30"/>
        </w:rPr>
        <w:t>，落实《桂阳县职业技术教育学校学分制管理方案》，制定《桂阳职校学分登记办法》《桂阳职校学分取得办法》《桂阳职校学生综合素质测试办法》，改变</w:t>
      </w:r>
      <w:r>
        <w:rPr>
          <w:rFonts w:ascii="仿宋" w:hAnsi="仿宋" w:eastAsia="仿宋"/>
          <w:sz w:val="30"/>
          <w:szCs w:val="30"/>
        </w:rPr>
        <w:t>单一的评价方法，实现学生综合素质评价方法</w:t>
      </w:r>
      <w:r>
        <w:rPr>
          <w:rFonts w:hint="eastAsia" w:ascii="仿宋" w:hAnsi="仿宋" w:eastAsia="仿宋"/>
          <w:sz w:val="30"/>
          <w:szCs w:val="30"/>
        </w:rPr>
        <w:t>的</w:t>
      </w:r>
      <w:r>
        <w:rPr>
          <w:rFonts w:ascii="仿宋" w:hAnsi="仿宋" w:eastAsia="仿宋"/>
          <w:sz w:val="30"/>
          <w:szCs w:val="30"/>
        </w:rPr>
        <w:t>多元化和科学化</w:t>
      </w:r>
      <w:r>
        <w:rPr>
          <w:rFonts w:hint="eastAsia" w:ascii="仿宋" w:hAnsi="仿宋" w:eastAsia="仿宋"/>
          <w:sz w:val="30"/>
          <w:szCs w:val="30"/>
        </w:rPr>
        <w:t>，发挥了</w:t>
      </w:r>
      <w:r>
        <w:rPr>
          <w:rFonts w:ascii="仿宋" w:hAnsi="仿宋" w:eastAsia="仿宋"/>
          <w:sz w:val="30"/>
          <w:szCs w:val="30"/>
        </w:rPr>
        <w:t>评价过程</w:t>
      </w:r>
      <w:r>
        <w:rPr>
          <w:rFonts w:hint="eastAsia" w:ascii="仿宋" w:hAnsi="仿宋" w:eastAsia="仿宋"/>
          <w:sz w:val="30"/>
          <w:szCs w:val="30"/>
        </w:rPr>
        <w:t>的</w:t>
      </w:r>
      <w:r>
        <w:rPr>
          <w:rFonts w:ascii="仿宋" w:hAnsi="仿宋" w:eastAsia="仿宋"/>
          <w:sz w:val="30"/>
          <w:szCs w:val="30"/>
        </w:rPr>
        <w:t>自我教育的作用。</w:t>
      </w:r>
    </w:p>
    <w:p>
      <w:pPr>
        <w:spacing w:line="360" w:lineRule="auto"/>
        <w:ind w:firstLine="600" w:firstLineChars="200"/>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w:instrText>
      </w:r>
      <w:r>
        <w:rPr>
          <w:rFonts w:hint="eastAsia" w:ascii="仿宋" w:hAnsi="仿宋" w:eastAsia="仿宋"/>
          <w:sz w:val="30"/>
          <w:szCs w:val="30"/>
        </w:rPr>
        <w:instrText xml:space="preserve">= 5 \* GB3</w:instrText>
      </w:r>
      <w:r>
        <w:rPr>
          <w:rFonts w:ascii="仿宋" w:hAnsi="仿宋" w:eastAsia="仿宋"/>
          <w:sz w:val="30"/>
          <w:szCs w:val="30"/>
        </w:rPr>
        <w:instrText xml:space="preserve"> </w:instrText>
      </w:r>
      <w:r>
        <w:rPr>
          <w:rFonts w:ascii="仿宋" w:hAnsi="仿宋" w:eastAsia="仿宋"/>
          <w:sz w:val="30"/>
          <w:szCs w:val="30"/>
        </w:rPr>
        <w:fldChar w:fldCharType="separate"/>
      </w:r>
      <w:r>
        <w:rPr>
          <w:rFonts w:hint="eastAsia" w:ascii="仿宋" w:hAnsi="仿宋" w:eastAsia="仿宋"/>
          <w:sz w:val="30"/>
          <w:szCs w:val="30"/>
        </w:rPr>
        <w:t>⑤</w:t>
      </w:r>
      <w:r>
        <w:rPr>
          <w:rFonts w:ascii="仿宋" w:hAnsi="仿宋" w:eastAsia="仿宋"/>
          <w:sz w:val="30"/>
          <w:szCs w:val="30"/>
        </w:rPr>
        <w:fldChar w:fldCharType="end"/>
      </w:r>
      <w:r>
        <w:rPr>
          <w:rFonts w:hint="eastAsia" w:ascii="仿宋" w:hAnsi="仿宋" w:eastAsia="仿宋"/>
          <w:sz w:val="30"/>
          <w:szCs w:val="30"/>
        </w:rPr>
        <w:t>建设效果明显，办学特色突出。</w:t>
      </w:r>
      <w:r>
        <w:rPr>
          <w:rFonts w:hint="eastAsia" w:ascii="仿宋" w:hAnsi="仿宋" w:eastAsia="仿宋"/>
          <w:b/>
          <w:sz w:val="30"/>
          <w:szCs w:val="30"/>
        </w:rPr>
        <w:t>一是育人特色，</w:t>
      </w:r>
      <w:r>
        <w:rPr>
          <w:rFonts w:hint="eastAsia" w:ascii="仿宋" w:hAnsi="仿宋" w:eastAsia="仿宋"/>
          <w:sz w:val="30"/>
          <w:szCs w:val="30"/>
        </w:rPr>
        <w:t>形成了“三通道，三对接”育人模式（</w:t>
      </w:r>
      <w:r>
        <w:rPr>
          <w:rFonts w:ascii="仿宋" w:hAnsi="仿宋" w:eastAsia="仿宋"/>
          <w:sz w:val="30"/>
          <w:szCs w:val="30"/>
        </w:rPr>
        <w:t>开</w:t>
      </w:r>
      <w:r>
        <w:rPr>
          <w:rFonts w:hint="eastAsia" w:ascii="仿宋" w:hAnsi="仿宋" w:eastAsia="仿宋"/>
          <w:sz w:val="30"/>
          <w:szCs w:val="30"/>
        </w:rPr>
        <w:t>启</w:t>
      </w:r>
      <w:r>
        <w:rPr>
          <w:rFonts w:ascii="仿宋" w:hAnsi="仿宋" w:eastAsia="仿宋"/>
          <w:sz w:val="30"/>
          <w:szCs w:val="30"/>
        </w:rPr>
        <w:t>“园区轮训”通道，</w:t>
      </w:r>
      <w:r>
        <w:rPr>
          <w:rFonts w:hint="eastAsia" w:ascii="仿宋" w:hAnsi="仿宋" w:eastAsia="仿宋"/>
          <w:sz w:val="30"/>
          <w:szCs w:val="30"/>
        </w:rPr>
        <w:t>实现了</w:t>
      </w:r>
      <w:r>
        <w:rPr>
          <w:rFonts w:ascii="仿宋" w:hAnsi="仿宋" w:eastAsia="仿宋"/>
          <w:sz w:val="30"/>
          <w:szCs w:val="30"/>
        </w:rPr>
        <w:t>实习就业对接园区企业</w:t>
      </w:r>
      <w:r>
        <w:rPr>
          <w:rFonts w:hint="eastAsia" w:ascii="仿宋" w:hAnsi="仿宋" w:eastAsia="仿宋"/>
          <w:sz w:val="30"/>
          <w:szCs w:val="30"/>
        </w:rPr>
        <w:t>；</w:t>
      </w:r>
      <w:r>
        <w:rPr>
          <w:rFonts w:ascii="仿宋" w:hAnsi="仿宋" w:eastAsia="仿宋"/>
          <w:sz w:val="30"/>
          <w:szCs w:val="30"/>
        </w:rPr>
        <w:t>开</w:t>
      </w:r>
      <w:r>
        <w:rPr>
          <w:rFonts w:hint="eastAsia" w:ascii="仿宋" w:hAnsi="仿宋" w:eastAsia="仿宋"/>
          <w:sz w:val="30"/>
          <w:szCs w:val="30"/>
        </w:rPr>
        <w:t>启</w:t>
      </w:r>
      <w:r>
        <w:rPr>
          <w:rFonts w:ascii="仿宋" w:hAnsi="仿宋" w:eastAsia="仿宋"/>
          <w:sz w:val="30"/>
          <w:szCs w:val="30"/>
        </w:rPr>
        <w:t>“双元育人”通道，</w:t>
      </w:r>
      <w:r>
        <w:rPr>
          <w:rFonts w:hint="eastAsia" w:ascii="仿宋" w:hAnsi="仿宋" w:eastAsia="仿宋"/>
          <w:sz w:val="30"/>
          <w:szCs w:val="30"/>
        </w:rPr>
        <w:t>实现了</w:t>
      </w:r>
      <w:r>
        <w:rPr>
          <w:rFonts w:ascii="仿宋" w:hAnsi="仿宋" w:eastAsia="仿宋"/>
          <w:sz w:val="30"/>
          <w:szCs w:val="30"/>
        </w:rPr>
        <w:t>专业建设对接企业需求</w:t>
      </w:r>
      <w:r>
        <w:rPr>
          <w:rFonts w:hint="eastAsia" w:ascii="仿宋" w:hAnsi="仿宋" w:eastAsia="仿宋"/>
          <w:sz w:val="30"/>
          <w:szCs w:val="30"/>
        </w:rPr>
        <w:t>；</w:t>
      </w:r>
      <w:r>
        <w:rPr>
          <w:rFonts w:ascii="仿宋" w:hAnsi="仿宋" w:eastAsia="仿宋"/>
          <w:sz w:val="30"/>
          <w:szCs w:val="30"/>
        </w:rPr>
        <w:t>开</w:t>
      </w:r>
      <w:r>
        <w:rPr>
          <w:rFonts w:hint="eastAsia" w:ascii="仿宋" w:hAnsi="仿宋" w:eastAsia="仿宋"/>
          <w:sz w:val="30"/>
          <w:szCs w:val="30"/>
        </w:rPr>
        <w:t>启</w:t>
      </w:r>
      <w:r>
        <w:rPr>
          <w:rFonts w:ascii="仿宋" w:hAnsi="仿宋" w:eastAsia="仿宋"/>
          <w:sz w:val="30"/>
          <w:szCs w:val="30"/>
        </w:rPr>
        <w:t>“中高衔接”通道，</w:t>
      </w:r>
      <w:r>
        <w:rPr>
          <w:rFonts w:hint="eastAsia" w:ascii="仿宋" w:hAnsi="仿宋" w:eastAsia="仿宋"/>
          <w:sz w:val="30"/>
          <w:szCs w:val="30"/>
        </w:rPr>
        <w:t>实现了</w:t>
      </w:r>
      <w:r>
        <w:rPr>
          <w:rFonts w:ascii="仿宋" w:hAnsi="仿宋" w:eastAsia="仿宋"/>
          <w:sz w:val="30"/>
          <w:szCs w:val="30"/>
        </w:rPr>
        <w:t>中职教育对接高职教育</w:t>
      </w:r>
      <w:r>
        <w:rPr>
          <w:rFonts w:hint="eastAsia" w:ascii="仿宋" w:hAnsi="仿宋" w:eastAsia="仿宋"/>
          <w:sz w:val="30"/>
          <w:szCs w:val="30"/>
        </w:rPr>
        <w:t>），提高了学校社会服务能力和办学水平。</w:t>
      </w:r>
      <w:r>
        <w:rPr>
          <w:rFonts w:hint="eastAsia" w:ascii="仿宋" w:hAnsi="仿宋" w:eastAsia="仿宋"/>
          <w:b/>
          <w:sz w:val="30"/>
          <w:szCs w:val="30"/>
        </w:rPr>
        <w:t>二是技能特色，</w:t>
      </w:r>
      <w:r>
        <w:rPr>
          <w:rFonts w:hint="eastAsia" w:ascii="仿宋" w:hAnsi="仿宋" w:eastAsia="仿宋"/>
          <w:sz w:val="30"/>
          <w:szCs w:val="30"/>
        </w:rPr>
        <w:t>通过以赛促学、以学促教，提升学校整体教学质量，取得显著效果。本年度，我校在技能大赛、文明风采、创业规则大赛中荣获省</w:t>
      </w:r>
      <w:r>
        <w:rPr>
          <w:rFonts w:ascii="仿宋" w:hAnsi="仿宋" w:eastAsia="仿宋"/>
          <w:sz w:val="30"/>
          <w:szCs w:val="30"/>
        </w:rPr>
        <w:t>一等奖</w:t>
      </w:r>
      <w:r>
        <w:rPr>
          <w:rFonts w:hint="eastAsia" w:ascii="仿宋" w:hAnsi="仿宋" w:eastAsia="仿宋"/>
          <w:sz w:val="30"/>
          <w:szCs w:val="30"/>
        </w:rPr>
        <w:t>2</w:t>
      </w:r>
      <w:r>
        <w:rPr>
          <w:rFonts w:ascii="仿宋" w:hAnsi="仿宋" w:eastAsia="仿宋"/>
          <w:sz w:val="30"/>
          <w:szCs w:val="30"/>
        </w:rPr>
        <w:t>人，二等奖</w:t>
      </w:r>
      <w:r>
        <w:rPr>
          <w:rFonts w:hint="eastAsia" w:ascii="仿宋" w:hAnsi="仿宋" w:eastAsia="仿宋"/>
          <w:sz w:val="30"/>
          <w:szCs w:val="30"/>
        </w:rPr>
        <w:t>8</w:t>
      </w:r>
      <w:r>
        <w:rPr>
          <w:rFonts w:ascii="仿宋" w:hAnsi="仿宋" w:eastAsia="仿宋"/>
          <w:sz w:val="30"/>
          <w:szCs w:val="30"/>
        </w:rPr>
        <w:t>人，三等奖</w:t>
      </w:r>
      <w:r>
        <w:rPr>
          <w:rFonts w:hint="eastAsia" w:ascii="仿宋" w:hAnsi="仿宋" w:eastAsia="仿宋"/>
          <w:sz w:val="30"/>
          <w:szCs w:val="30"/>
        </w:rPr>
        <w:t>12</w:t>
      </w:r>
      <w:r>
        <w:rPr>
          <w:rFonts w:ascii="仿宋" w:hAnsi="仿宋" w:eastAsia="仿宋"/>
          <w:sz w:val="30"/>
          <w:szCs w:val="30"/>
        </w:rPr>
        <w:t>人。</w:t>
      </w:r>
      <w:r>
        <w:rPr>
          <w:rFonts w:hint="eastAsia" w:ascii="仿宋" w:hAnsi="仿宋" w:eastAsia="仿宋"/>
          <w:b/>
          <w:sz w:val="30"/>
          <w:szCs w:val="30"/>
        </w:rPr>
        <w:t>三是就业特色，</w:t>
      </w:r>
      <w:r>
        <w:rPr>
          <w:rFonts w:hint="eastAsia" w:ascii="仿宋" w:hAnsi="仿宋" w:eastAsia="仿宋"/>
          <w:sz w:val="30"/>
          <w:szCs w:val="30"/>
        </w:rPr>
        <w:t>开通四大就业渠道，提高学生就业率。渠道一：举办校园招聘会，每年5月策办专门的对接园区企业招聘会，鼓励中职学生在本县工业园区就业。渠道二：搭建“互联网+就业”平台，与人社部门在学校就业指导中心打造了“互联网+就业”平台，进行线上和线下招工就业。渠道三：创建微信公众号，学校专门为顶岗实习生、毕业生创建了就业指导微信公众号，让学生全面获取就业信息。渠道四：建立校友群，在校友群内分享内推职位就业方法，了解最新职位和最优岗位。</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三、存在的问题</w:t>
      </w:r>
    </w:p>
    <w:p>
      <w:pPr>
        <w:spacing w:line="360" w:lineRule="auto"/>
        <w:ind w:firstLine="602" w:firstLineChars="200"/>
        <w:jc w:val="both"/>
        <w:rPr>
          <w:rFonts w:ascii="楷体_GB2312" w:hAnsi="仿宋" w:eastAsia="楷体_GB2312" w:cs="Times New Roman"/>
          <w:b/>
          <w:bCs/>
          <w:sz w:val="30"/>
          <w:szCs w:val="30"/>
          <w:lang w:val="en-US"/>
        </w:rPr>
      </w:pPr>
      <w:r>
        <w:rPr>
          <w:rFonts w:hint="eastAsia" w:ascii="楷体_GB2312" w:hAnsi="仿宋" w:eastAsia="楷体_GB2312" w:cs="Times New Roman"/>
          <w:b/>
          <w:bCs/>
          <w:sz w:val="30"/>
          <w:szCs w:val="30"/>
          <w:lang w:val="en-US"/>
        </w:rPr>
        <w:t>（一）项目资金预算和使用途径欠细化</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在一年的建设中发现，学校在针对项目进行资金预算时，存在预算欠细化，出现预算与实际执行有偏差的现象。主要原因是项目组成员为非财务专业人员，不熟悉财务专业知识，没有结合科学依据和项目实际情况编制预算方案。</w:t>
      </w:r>
    </w:p>
    <w:p>
      <w:pPr>
        <w:spacing w:line="360" w:lineRule="auto"/>
        <w:ind w:firstLine="602" w:firstLineChars="200"/>
        <w:rPr>
          <w:rFonts w:ascii="仿宋" w:hAnsi="仿宋" w:eastAsia="仿宋"/>
          <w:sz w:val="30"/>
          <w:szCs w:val="30"/>
        </w:rPr>
      </w:pPr>
      <w:r>
        <w:rPr>
          <w:rFonts w:hint="eastAsia" w:ascii="楷体_GB2312" w:hAnsi="仿宋" w:eastAsia="楷体_GB2312" w:cs="Times New Roman"/>
          <w:b/>
          <w:bCs/>
          <w:sz w:val="30"/>
          <w:szCs w:val="30"/>
          <w:lang w:val="en-US"/>
        </w:rPr>
        <w:t>（二）职教教师的编制问题无法解决。</w:t>
      </w:r>
      <w:r>
        <w:rPr>
          <w:rFonts w:hint="eastAsia" w:ascii="仿宋" w:hAnsi="仿宋" w:eastAsia="仿宋"/>
          <w:sz w:val="30"/>
          <w:szCs w:val="30"/>
        </w:rPr>
        <w:t>我校现在还是20年前的68个编制数，现学生已是当时的15倍了，为了遵循国务院“只减不增”精神，而编制还是依旧，编制的不足仍然是制约职业教育发展的一个瓶颈。编制不解决，教师的职称评审受阻，学校有岗位，也有编制，但大部分教师评不上职称，职业学校的教师评审指标应由地方提供编制，全省统一评定，而不是全省统一划线。</w:t>
      </w:r>
    </w:p>
    <w:p>
      <w:pPr>
        <w:spacing w:line="360" w:lineRule="auto"/>
        <w:ind w:firstLine="602" w:firstLineChars="200"/>
        <w:rPr>
          <w:rFonts w:ascii="仿宋" w:hAnsi="仿宋" w:eastAsia="仿宋"/>
          <w:sz w:val="30"/>
          <w:szCs w:val="30"/>
        </w:rPr>
      </w:pPr>
      <w:r>
        <w:rPr>
          <w:rFonts w:hint="eastAsia" w:ascii="楷体_GB2312" w:hAnsi="仿宋" w:eastAsia="楷体_GB2312" w:cs="Times New Roman"/>
          <w:b/>
          <w:bCs/>
          <w:sz w:val="30"/>
          <w:szCs w:val="30"/>
          <w:lang w:val="en-US"/>
        </w:rPr>
        <w:t>（三）普职大体相当落实不够到位。</w:t>
      </w:r>
      <w:r>
        <w:rPr>
          <w:rFonts w:hint="eastAsia" w:ascii="仿宋" w:hAnsi="仿宋" w:eastAsia="仿宋"/>
          <w:sz w:val="30"/>
          <w:szCs w:val="30"/>
        </w:rPr>
        <w:t>我县虽然摆正了职业教育优先发展的战略地位，但由于县内高中阶段学校布局不合理，职业学校所数不足，中职学位严重不足，我县目前普职比仅为4:1，与上级要求差距较大。</w:t>
      </w:r>
    </w:p>
    <w:p>
      <w:pPr>
        <w:spacing w:line="360" w:lineRule="auto"/>
        <w:ind w:firstLine="600" w:firstLineChars="200"/>
        <w:rPr>
          <w:rFonts w:ascii="黑体" w:hAnsi="仿宋" w:eastAsia="黑体" w:cs="Times New Roman"/>
          <w:bCs/>
          <w:sz w:val="30"/>
          <w:szCs w:val="30"/>
          <w:lang w:val="en-US"/>
        </w:rPr>
      </w:pPr>
      <w:r>
        <w:rPr>
          <w:rFonts w:hint="eastAsia" w:ascii="黑体" w:hAnsi="仿宋" w:eastAsia="黑体" w:cs="Times New Roman"/>
          <w:bCs/>
          <w:sz w:val="30"/>
          <w:szCs w:val="30"/>
          <w:lang w:val="en-US"/>
        </w:rPr>
        <w:t>四、下一步工作打算</w:t>
      </w:r>
    </w:p>
    <w:p>
      <w:pPr>
        <w:spacing w:line="360" w:lineRule="auto"/>
        <w:ind w:firstLine="602" w:firstLineChars="200"/>
        <w:rPr>
          <w:rFonts w:ascii="楷体_GB2312" w:hAnsi="仿宋" w:eastAsia="楷体_GB2312" w:cs="Times New Roman"/>
          <w:b/>
          <w:bCs/>
          <w:sz w:val="30"/>
          <w:szCs w:val="30"/>
          <w:lang w:val="en-US"/>
        </w:rPr>
      </w:pPr>
      <w:r>
        <w:rPr>
          <w:rFonts w:hint="eastAsia" w:ascii="楷体_GB2312" w:hAnsi="仿宋" w:eastAsia="楷体_GB2312" w:cs="Times New Roman"/>
          <w:b/>
          <w:bCs/>
          <w:sz w:val="30"/>
          <w:szCs w:val="30"/>
          <w:lang w:val="en-US"/>
        </w:rPr>
        <w:t>（一）项目管理科学规范化，经费落实实处。</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加强项目实施监督管理。</w:t>
      </w:r>
      <w:r>
        <w:rPr>
          <w:rFonts w:ascii="仿宋" w:hAnsi="仿宋" w:eastAsia="仿宋"/>
          <w:sz w:val="30"/>
          <w:szCs w:val="30"/>
        </w:rPr>
        <w:t>部署项目检查，督促推进各项目按进度安排，取得相应成果</w:t>
      </w:r>
      <w:r>
        <w:rPr>
          <w:rFonts w:hint="eastAsia" w:ascii="仿宋" w:hAnsi="仿宋" w:eastAsia="仿宋"/>
          <w:sz w:val="30"/>
          <w:szCs w:val="30"/>
        </w:rPr>
        <w:t>，</w:t>
      </w:r>
      <w:r>
        <w:rPr>
          <w:rFonts w:ascii="仿宋" w:hAnsi="仿宋" w:eastAsia="仿宋"/>
          <w:sz w:val="30"/>
          <w:szCs w:val="30"/>
        </w:rPr>
        <w:t>完成阶段性绩效目标。加快项目</w:t>
      </w:r>
      <w:r>
        <w:rPr>
          <w:rFonts w:hint="eastAsia" w:ascii="仿宋" w:hAnsi="仿宋" w:eastAsia="仿宋"/>
          <w:sz w:val="30"/>
          <w:szCs w:val="30"/>
        </w:rPr>
        <w:t>经费</w:t>
      </w:r>
      <w:r>
        <w:rPr>
          <w:rFonts w:ascii="仿宋" w:hAnsi="仿宋" w:eastAsia="仿宋"/>
          <w:sz w:val="30"/>
          <w:szCs w:val="30"/>
        </w:rPr>
        <w:t>管理</w:t>
      </w:r>
      <w:r>
        <w:rPr>
          <w:rFonts w:hint="eastAsia" w:ascii="仿宋" w:hAnsi="仿宋" w:eastAsia="仿宋"/>
          <w:sz w:val="30"/>
          <w:szCs w:val="30"/>
        </w:rPr>
        <w:t>，财务部门应细化预算管理，使预算能对应具体业务，精准度更高、可操作性更强。</w:t>
      </w:r>
    </w:p>
    <w:p>
      <w:pPr>
        <w:spacing w:line="360" w:lineRule="auto"/>
        <w:ind w:firstLine="602" w:firstLineChars="200"/>
        <w:rPr>
          <w:rFonts w:ascii="楷体_GB2312" w:hAnsi="仿宋" w:eastAsia="楷体_GB2312" w:cs="Times New Roman"/>
          <w:b/>
          <w:bCs/>
          <w:sz w:val="30"/>
          <w:szCs w:val="30"/>
          <w:lang w:val="en-US"/>
        </w:rPr>
      </w:pPr>
      <w:r>
        <w:rPr>
          <w:rFonts w:hint="eastAsia" w:ascii="楷体_GB2312" w:hAnsi="仿宋" w:eastAsia="楷体_GB2312" w:cs="Times New Roman"/>
          <w:b/>
          <w:bCs/>
          <w:sz w:val="30"/>
          <w:szCs w:val="30"/>
          <w:lang w:val="en-US"/>
        </w:rPr>
        <w:t>（二）推进“135”发展战略，工作落到实处。</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大力推行现代学徒制教学，力争在明年合作企业增至三家。大力推行“1+x” 试点工作，参与率达到75%。学校将继续抓好非正规教育平台建设，完善学分管理制度，完善学生综合素质评价体系，做到评价合理，管理科学。紧紧围绕“135”发展战略，重点打造“一校三区，万人职中”的办学格局。以特色专业、技能大赛、技能抽考、文化普测、文明风采大赛、创新创业大赛、教师职业能力大赛、重点项目推进、职教开放周（技能节）等为抓手，强力推进五大目标建设进程，完善新校区的各项功能，完成老校区的拆建工作，规划启动工业园区“综合性实践教学基地”的建设工作。</w:t>
      </w:r>
    </w:p>
    <w:p>
      <w:pPr>
        <w:spacing w:line="360" w:lineRule="auto"/>
        <w:ind w:firstLine="602" w:firstLineChars="200"/>
        <w:rPr>
          <w:rFonts w:ascii="楷体_GB2312" w:hAnsi="仿宋" w:eastAsia="楷体_GB2312" w:cs="Times New Roman"/>
          <w:b/>
          <w:bCs/>
          <w:sz w:val="30"/>
          <w:szCs w:val="30"/>
          <w:lang w:val="en-US"/>
        </w:rPr>
      </w:pPr>
      <w:r>
        <w:rPr>
          <w:rFonts w:hint="eastAsia" w:ascii="楷体_GB2312" w:hAnsi="仿宋" w:eastAsia="楷体_GB2312" w:cs="Times New Roman"/>
          <w:b/>
          <w:bCs/>
          <w:sz w:val="30"/>
          <w:szCs w:val="30"/>
          <w:lang w:val="en-US"/>
        </w:rPr>
        <w:t>（三）进一步加强教师队伍建设，全面提升治理能力。</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坚持党建引领，立德树人，加强思政课教学，做好课堂思政，让习近平新时代中国特色社会主义思想进校园、进教室、进头脑。以建党100周年为契机，全校掀起一股“学党史，知党恩，跟党走”的学习热潮，以政治建设为统领大力开展“三进三讲三建”活动，全面提升学校的治理能力。完善“校长负责、依法治校、社会参与、民主监督”的内部治理机制，实现学校治理体系和治理能力现代化。</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按《任务书》进一步制定学校师资队伍培养培训发展规划。将规划落实到具体的人、学科和岗位，因人施策、整体推进、巩固提升。以 “一师一优课”“一课一名师”“双师双创”“名师工作室”“名班主任工作室”“精品课程在线”为提升手段，打造国家级教学团队1个，省级教学团队2个（电子技术应用专业教师团队，计算机平面设计专业）省级名师工作室2个，精品课程3门以上。</w:t>
      </w:r>
    </w:p>
    <w:p>
      <w:pPr>
        <w:spacing w:line="360" w:lineRule="auto"/>
        <w:ind w:firstLine="300" w:firstLineChars="100"/>
        <w:rPr>
          <w:rFonts w:ascii="仿宋" w:hAnsi="仿宋" w:eastAsia="仿宋"/>
          <w:sz w:val="30"/>
          <w:szCs w:val="30"/>
        </w:rPr>
      </w:pPr>
      <w:r>
        <w:rPr>
          <w:rFonts w:eastAsia="仿宋"/>
          <w:sz w:val="30"/>
          <w:szCs w:val="30"/>
        </w:rPr>
        <w:t> </w:t>
      </w:r>
      <w:r>
        <w:rPr>
          <w:rFonts w:hint="eastAsia" w:ascii="仿宋" w:hAnsi="仿宋" w:eastAsia="仿宋"/>
          <w:sz w:val="30"/>
          <w:szCs w:val="30"/>
        </w:rPr>
        <w:t>通过一年来的湖南省卓越中等职业学校重点项目建设，学校的教育质量、管理水平、信息应用、校企合作、师资队伍、办学效益和服务能力等得到提升，学生就业创业能力得到加强。学校主动对接区域发展需要，积极发挥“国家级重点、省级示范校、省级现代学徒制试点单位”的示范、引领作用，大大提高了职业教育对社会的影响力，学校办学步入高质量发展的快车道。卓越校建设永远在路上，未来我们将认真总结经验，学习同行的成功经验，推进学校各项工作跃上新台阶。</w:t>
      </w: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300" w:firstLineChars="100"/>
        <w:rPr>
          <w:rFonts w:ascii="仿宋" w:hAnsi="仿宋" w:eastAsia="仿宋"/>
          <w:sz w:val="30"/>
          <w:szCs w:val="30"/>
        </w:rPr>
      </w:pPr>
    </w:p>
    <w:p>
      <w:pPr>
        <w:spacing w:line="360" w:lineRule="auto"/>
        <w:ind w:firstLine="600" w:firstLineChars="200"/>
        <w:rPr>
          <w:rFonts w:ascii="仿宋" w:hAnsi="仿宋" w:eastAsia="仿宋"/>
          <w:sz w:val="30"/>
          <w:szCs w:val="30"/>
        </w:rPr>
      </w:pPr>
    </w:p>
    <w:tbl>
      <w:tblPr>
        <w:tblStyle w:val="10"/>
        <w:tblW w:w="9491" w:type="dxa"/>
        <w:jc w:val="center"/>
        <w:tblLayout w:type="fixed"/>
        <w:tblCellMar>
          <w:top w:w="0" w:type="dxa"/>
          <w:left w:w="0" w:type="dxa"/>
          <w:bottom w:w="0" w:type="dxa"/>
          <w:right w:w="0" w:type="dxa"/>
        </w:tblCellMar>
      </w:tblPr>
      <w:tblGrid>
        <w:gridCol w:w="637"/>
        <w:gridCol w:w="1204"/>
        <w:gridCol w:w="1205"/>
        <w:gridCol w:w="1701"/>
        <w:gridCol w:w="1843"/>
        <w:gridCol w:w="2901"/>
      </w:tblGrid>
      <w:tr>
        <w:tblPrEx>
          <w:tblCellMar>
            <w:top w:w="0" w:type="dxa"/>
            <w:left w:w="0" w:type="dxa"/>
            <w:bottom w:w="0" w:type="dxa"/>
            <w:right w:w="0" w:type="dxa"/>
          </w:tblCellMar>
        </w:tblPrEx>
        <w:trPr>
          <w:trHeight w:val="740" w:hRule="atLeast"/>
          <w:jc w:val="center"/>
        </w:trPr>
        <w:tc>
          <w:tcPr>
            <w:tcW w:w="9491" w:type="dxa"/>
            <w:gridSpan w:val="6"/>
            <w:tcMar>
              <w:top w:w="15" w:type="dxa"/>
              <w:left w:w="15" w:type="dxa"/>
              <w:bottom w:w="0" w:type="dxa"/>
              <w:right w:w="15" w:type="dxa"/>
            </w:tcMar>
            <w:vAlign w:val="center"/>
          </w:tcPr>
          <w:p>
            <w:pPr>
              <w:spacing w:line="360" w:lineRule="auto"/>
              <w:jc w:val="center"/>
              <w:rPr>
                <w:rFonts w:ascii="方正小标宋_GBK" w:hAnsi="仿宋" w:eastAsia="方正小标宋_GBK"/>
                <w:sz w:val="36"/>
                <w:szCs w:val="36"/>
              </w:rPr>
            </w:pPr>
            <w:r>
              <w:rPr>
                <w:rFonts w:hint="eastAsia" w:ascii="方正小标宋_GBK" w:hAnsi="仿宋" w:eastAsia="方正小标宋_GBK"/>
                <w:sz w:val="38"/>
                <w:szCs w:val="36"/>
              </w:rPr>
              <w:t>湖南省职业教育省级重点建设项目经费使用情况表</w:t>
            </w:r>
          </w:p>
        </w:tc>
      </w:tr>
      <w:tr>
        <w:tblPrEx>
          <w:tblCellMar>
            <w:top w:w="0" w:type="dxa"/>
            <w:left w:w="0" w:type="dxa"/>
            <w:bottom w:w="0" w:type="dxa"/>
            <w:right w:w="0" w:type="dxa"/>
          </w:tblCellMar>
        </w:tblPrEx>
        <w:trPr>
          <w:trHeight w:val="355" w:hRule="atLeast"/>
          <w:jc w:val="center"/>
        </w:trPr>
        <w:tc>
          <w:tcPr>
            <w:tcW w:w="4747" w:type="dxa"/>
            <w:gridSpan w:val="4"/>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项目名称：卓越中等职业学校</w:t>
            </w:r>
          </w:p>
          <w:p>
            <w:pPr>
              <w:spacing w:line="360" w:lineRule="auto"/>
              <w:rPr>
                <w:rFonts w:ascii="仿宋" w:hAnsi="仿宋" w:eastAsia="仿宋"/>
                <w:sz w:val="30"/>
                <w:szCs w:val="30"/>
              </w:rPr>
            </w:pPr>
            <w:r>
              <w:rPr>
                <w:rFonts w:hint="eastAsia" w:ascii="仿宋" w:hAnsi="仿宋" w:eastAsia="仿宋"/>
                <w:sz w:val="30"/>
                <w:szCs w:val="30"/>
              </w:rPr>
              <w:t>建设单位：桂阳县职业技术教育学校</w:t>
            </w:r>
          </w:p>
        </w:tc>
        <w:tc>
          <w:tcPr>
            <w:tcW w:w="1843" w:type="dxa"/>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   </w:t>
            </w:r>
          </w:p>
        </w:tc>
        <w:tc>
          <w:tcPr>
            <w:tcW w:w="2901" w:type="dxa"/>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填报日期：2021年5月</w:t>
            </w:r>
          </w:p>
        </w:tc>
      </w:tr>
      <w:tr>
        <w:tblPrEx>
          <w:tblCellMar>
            <w:top w:w="0" w:type="dxa"/>
            <w:left w:w="0" w:type="dxa"/>
            <w:bottom w:w="0" w:type="dxa"/>
            <w:right w:w="0" w:type="dxa"/>
          </w:tblCellMar>
        </w:tblPrEx>
        <w:trPr>
          <w:trHeight w:val="880"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一、投入</w:t>
            </w:r>
          </w:p>
        </w:tc>
        <w:tc>
          <w:tcPr>
            <w:tcW w:w="4110"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rPr>
                <w:rFonts w:ascii="仿宋" w:hAnsi="仿宋" w:eastAsia="仿宋"/>
                <w:sz w:val="30"/>
                <w:szCs w:val="30"/>
              </w:rPr>
            </w:pPr>
            <w:r>
              <w:rPr>
                <w:rFonts w:hint="eastAsia" w:ascii="仿宋" w:hAnsi="仿宋" w:eastAsia="仿宋"/>
                <w:sz w:val="30"/>
                <w:szCs w:val="30"/>
              </w:rPr>
              <w:t>项   目</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预算</w:t>
            </w:r>
            <w:r>
              <w:rPr>
                <w:rFonts w:ascii="仿宋" w:hAnsi="仿宋" w:eastAsia="仿宋"/>
                <w:sz w:val="30"/>
                <w:szCs w:val="30"/>
              </w:rPr>
              <w:br w:type="textWrapping"/>
            </w:r>
            <w:r>
              <w:rPr>
                <w:rFonts w:hint="eastAsia" w:ascii="仿宋" w:hAnsi="仿宋" w:eastAsia="仿宋"/>
                <w:sz w:val="30"/>
                <w:szCs w:val="30"/>
              </w:rPr>
              <w:t>（单位：万元）</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实际到位或支出</w:t>
            </w:r>
            <w:r>
              <w:rPr>
                <w:rFonts w:ascii="仿宋" w:hAnsi="仿宋" w:eastAsia="仿宋"/>
                <w:sz w:val="30"/>
                <w:szCs w:val="30"/>
              </w:rPr>
              <w:br w:type="textWrapping"/>
            </w:r>
            <w:r>
              <w:rPr>
                <w:rFonts w:hint="eastAsia" w:ascii="仿宋" w:hAnsi="仿宋" w:eastAsia="仿宋"/>
                <w:sz w:val="30"/>
                <w:szCs w:val="30"/>
              </w:rPr>
              <w:t>（单位：万元）</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ascii="仿宋" w:hAnsi="仿宋" w:eastAsia="仿宋"/>
                <w:sz w:val="30"/>
                <w:szCs w:val="30"/>
              </w:rPr>
              <w:t>1</w:t>
            </w:r>
          </w:p>
        </w:tc>
        <w:tc>
          <w:tcPr>
            <w:tcW w:w="2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地方财政投入</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600</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632</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ascii="仿宋" w:hAnsi="仿宋" w:eastAsia="仿宋"/>
                <w:sz w:val="30"/>
                <w:szCs w:val="30"/>
              </w:rPr>
              <w:t>2</w:t>
            </w:r>
          </w:p>
        </w:tc>
        <w:tc>
          <w:tcPr>
            <w:tcW w:w="2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举办者投入</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433</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435</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ascii="仿宋" w:hAnsi="仿宋" w:eastAsia="仿宋"/>
                <w:sz w:val="30"/>
                <w:szCs w:val="30"/>
              </w:rPr>
              <w:t>3</w:t>
            </w:r>
          </w:p>
        </w:tc>
        <w:tc>
          <w:tcPr>
            <w:tcW w:w="2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行业企业投入</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40</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34</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ascii="仿宋" w:hAnsi="仿宋" w:eastAsia="仿宋"/>
                <w:sz w:val="30"/>
                <w:szCs w:val="30"/>
              </w:rPr>
              <w:t>4</w:t>
            </w:r>
          </w:p>
        </w:tc>
        <w:tc>
          <w:tcPr>
            <w:tcW w:w="2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其他投入</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120</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94</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41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小</w:t>
            </w:r>
            <w:r>
              <w:rPr>
                <w:rFonts w:ascii="仿宋" w:hAnsi="仿宋" w:eastAsia="仿宋"/>
                <w:sz w:val="30"/>
                <w:szCs w:val="30"/>
              </w:rPr>
              <w:t xml:space="preserve"> </w:t>
            </w:r>
            <w:r>
              <w:rPr>
                <w:rFonts w:hint="eastAsia" w:ascii="仿宋" w:hAnsi="仿宋" w:eastAsia="仿宋"/>
                <w:sz w:val="30"/>
                <w:szCs w:val="30"/>
              </w:rPr>
              <w:t>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1193</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1195</w:t>
            </w:r>
          </w:p>
        </w:tc>
      </w:tr>
      <w:tr>
        <w:tblPrEx>
          <w:tblCellMar>
            <w:top w:w="0" w:type="dxa"/>
            <w:left w:w="0" w:type="dxa"/>
            <w:bottom w:w="0" w:type="dxa"/>
            <w:right w:w="0" w:type="dxa"/>
          </w:tblCellMar>
        </w:tblPrEx>
        <w:trPr>
          <w:trHeight w:val="542"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二、支出</w:t>
            </w:r>
          </w:p>
        </w:tc>
        <w:tc>
          <w:tcPr>
            <w:tcW w:w="12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ascii="仿宋" w:hAnsi="仿宋" w:eastAsia="仿宋"/>
                <w:sz w:val="30"/>
                <w:szCs w:val="30"/>
              </w:rPr>
              <w:t>1</w:t>
            </w:r>
          </w:p>
        </w:tc>
        <w:tc>
          <w:tcPr>
            <w:tcW w:w="12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特色专业群支出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专业群</w:t>
            </w:r>
            <w:r>
              <w:rPr>
                <w:rFonts w:ascii="仿宋" w:hAnsi="仿宋" w:eastAsia="仿宋"/>
                <w:sz w:val="30"/>
                <w:szCs w:val="30"/>
              </w:rPr>
              <w:t>1</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437</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437</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专业群</w:t>
            </w:r>
            <w:r>
              <w:rPr>
                <w:rFonts w:ascii="仿宋" w:hAnsi="仿宋" w:eastAsia="仿宋"/>
                <w:sz w:val="30"/>
                <w:szCs w:val="30"/>
              </w:rPr>
              <w:t>2</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360</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360</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专业群</w:t>
            </w:r>
            <w:r>
              <w:rPr>
                <w:rFonts w:ascii="仿宋" w:hAnsi="仿宋" w:eastAsia="仿宋"/>
                <w:sz w:val="30"/>
                <w:szCs w:val="30"/>
              </w:rPr>
              <w:t>3</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701" w:type="dxa"/>
            <w:noWrap/>
            <w:tcMar>
              <w:top w:w="15" w:type="dxa"/>
              <w:left w:w="15" w:type="dxa"/>
              <w:bottom w:w="0" w:type="dxa"/>
              <w:right w:w="15" w:type="dxa"/>
            </w:tcMar>
            <w:vAlign w:val="center"/>
          </w:tcPr>
          <w:p>
            <w:pPr>
              <w:spacing w:line="360" w:lineRule="auto"/>
              <w:ind w:firstLine="300" w:firstLineChars="100"/>
              <w:rPr>
                <w:rFonts w:ascii="仿宋" w:hAnsi="仿宋" w:eastAsia="仿宋"/>
                <w:sz w:val="30"/>
                <w:szCs w:val="30"/>
              </w:rPr>
            </w:pPr>
            <w:r>
              <w:rPr>
                <w:rFonts w:hint="eastAsia" w:ascii="仿宋" w:hAnsi="仿宋" w:eastAsia="仿宋"/>
                <w:sz w:val="30"/>
                <w:szCs w:val="30"/>
              </w:rPr>
              <w:t>小计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797</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797</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ascii="仿宋" w:hAnsi="仿宋" w:eastAsia="仿宋"/>
                <w:sz w:val="30"/>
                <w:szCs w:val="30"/>
              </w:rPr>
              <w:t>2</w:t>
            </w:r>
          </w:p>
        </w:tc>
        <w:tc>
          <w:tcPr>
            <w:tcW w:w="2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教师队伍建设支出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193</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193</w:t>
            </w:r>
          </w:p>
        </w:tc>
      </w:tr>
      <w:tr>
        <w:tblPrEx>
          <w:tblCellMar>
            <w:top w:w="0" w:type="dxa"/>
            <w:left w:w="0" w:type="dxa"/>
            <w:bottom w:w="0" w:type="dxa"/>
            <w:right w:w="0" w:type="dxa"/>
          </w:tblCellMar>
        </w:tblPrEx>
        <w:trPr>
          <w:trHeight w:val="374"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ascii="仿宋" w:hAnsi="仿宋" w:eastAsia="仿宋"/>
                <w:sz w:val="30"/>
                <w:szCs w:val="30"/>
              </w:rPr>
              <w:t>3</w:t>
            </w:r>
          </w:p>
        </w:tc>
        <w:tc>
          <w:tcPr>
            <w:tcW w:w="2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治理能力建设支出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153</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155</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ascii="仿宋" w:hAnsi="仿宋" w:eastAsia="仿宋"/>
                <w:sz w:val="30"/>
                <w:szCs w:val="30"/>
              </w:rPr>
              <w:t>4</w:t>
            </w:r>
          </w:p>
        </w:tc>
        <w:tc>
          <w:tcPr>
            <w:tcW w:w="1205" w:type="dxa"/>
            <w:vMerge w:val="restart"/>
            <w:tcBorders>
              <w:top w:val="single" w:color="000000" w:sz="4" w:space="0"/>
              <w:left w:val="single" w:color="000000" w:sz="4" w:space="0"/>
              <w:bottom w:val="single" w:color="000000" w:sz="4" w:space="0"/>
              <w:right w:val="nil"/>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其他特色项目支出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特色项目</w:t>
            </w:r>
            <w:r>
              <w:rPr>
                <w:rFonts w:ascii="仿宋" w:hAnsi="仿宋" w:eastAsia="仿宋"/>
                <w:sz w:val="30"/>
                <w:szCs w:val="30"/>
              </w:rPr>
              <w:t>1</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25</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25</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5" w:type="dxa"/>
            <w:vMerge w:val="continue"/>
            <w:tcBorders>
              <w:top w:val="single" w:color="000000" w:sz="4" w:space="0"/>
              <w:left w:val="single" w:color="000000" w:sz="4" w:space="0"/>
              <w:bottom w:val="single" w:color="000000" w:sz="4" w:space="0"/>
              <w:right w:val="nil"/>
            </w:tcBorders>
            <w:vAlign w:val="center"/>
          </w:tcPr>
          <w:p>
            <w:pPr>
              <w:spacing w:line="360" w:lineRule="auto"/>
              <w:ind w:firstLine="600" w:firstLineChars="200"/>
              <w:rPr>
                <w:rFonts w:ascii="仿宋" w:hAnsi="仿宋" w:eastAsia="仿宋"/>
                <w:sz w:val="30"/>
                <w:szCs w:val="30"/>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rPr>
                <w:rFonts w:ascii="仿宋" w:hAnsi="仿宋" w:eastAsia="仿宋"/>
                <w:sz w:val="30"/>
                <w:szCs w:val="30"/>
              </w:rPr>
            </w:pPr>
            <w:r>
              <w:rPr>
                <w:rFonts w:hint="eastAsia" w:ascii="仿宋" w:hAnsi="仿宋" w:eastAsia="仿宋"/>
                <w:sz w:val="30"/>
                <w:szCs w:val="30"/>
              </w:rPr>
              <w:t>特色项目</w:t>
            </w:r>
            <w:r>
              <w:rPr>
                <w:rFonts w:ascii="仿宋" w:hAnsi="仿宋" w:eastAsia="仿宋"/>
                <w:sz w:val="30"/>
                <w:szCs w:val="30"/>
              </w:rPr>
              <w:t>2</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25</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25</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1205" w:type="dxa"/>
            <w:vMerge w:val="continue"/>
            <w:tcBorders>
              <w:top w:val="single" w:color="000000" w:sz="4" w:space="0"/>
              <w:left w:val="single" w:color="000000" w:sz="4" w:space="0"/>
              <w:bottom w:val="single" w:color="000000" w:sz="4" w:space="0"/>
              <w:right w:val="nil"/>
            </w:tcBorders>
            <w:vAlign w:val="center"/>
          </w:tcPr>
          <w:p>
            <w:pPr>
              <w:spacing w:line="360" w:lineRule="auto"/>
              <w:ind w:firstLine="600" w:firstLineChars="200"/>
              <w:rPr>
                <w:rFonts w:ascii="仿宋" w:hAnsi="仿宋" w:eastAsia="仿宋"/>
                <w:sz w:val="30"/>
                <w:szCs w:val="30"/>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ind w:firstLine="300" w:firstLineChars="100"/>
              <w:rPr>
                <w:rFonts w:ascii="仿宋" w:hAnsi="仿宋" w:eastAsia="仿宋"/>
                <w:sz w:val="30"/>
                <w:szCs w:val="30"/>
              </w:rPr>
            </w:pPr>
            <w:r>
              <w:rPr>
                <w:rFonts w:hint="eastAsia" w:ascii="仿宋" w:hAnsi="仿宋" w:eastAsia="仿宋"/>
                <w:sz w:val="30"/>
                <w:szCs w:val="30"/>
              </w:rPr>
              <w:t>小计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50</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50</w:t>
            </w:r>
          </w:p>
        </w:tc>
      </w:tr>
      <w:tr>
        <w:tblPrEx>
          <w:tblCellMar>
            <w:top w:w="0" w:type="dxa"/>
            <w:left w:w="0" w:type="dxa"/>
            <w:bottom w:w="0" w:type="dxa"/>
            <w:right w:w="0" w:type="dxa"/>
          </w:tblCellMar>
        </w:tblPrEx>
        <w:trPr>
          <w:trHeight w:val="51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600" w:firstLineChars="200"/>
              <w:rPr>
                <w:rFonts w:ascii="仿宋" w:hAnsi="仿宋" w:eastAsia="仿宋"/>
                <w:sz w:val="30"/>
                <w:szCs w:val="30"/>
              </w:rPr>
            </w:pPr>
          </w:p>
        </w:tc>
        <w:tc>
          <w:tcPr>
            <w:tcW w:w="41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1350" w:firstLineChars="450"/>
              <w:rPr>
                <w:rFonts w:ascii="仿宋" w:hAnsi="仿宋" w:eastAsia="仿宋"/>
                <w:sz w:val="30"/>
                <w:szCs w:val="30"/>
              </w:rPr>
            </w:pPr>
            <w:r>
              <w:rPr>
                <w:rFonts w:hint="eastAsia" w:ascii="仿宋" w:hAnsi="仿宋" w:eastAsia="仿宋"/>
                <w:sz w:val="30"/>
                <w:szCs w:val="30"/>
              </w:rPr>
              <w:t>小</w:t>
            </w:r>
            <w:r>
              <w:rPr>
                <w:rFonts w:ascii="仿宋" w:hAnsi="仿宋" w:eastAsia="仿宋"/>
                <w:sz w:val="30"/>
                <w:szCs w:val="30"/>
              </w:rPr>
              <w:t xml:space="preserve"> </w:t>
            </w:r>
            <w:r>
              <w:rPr>
                <w:rFonts w:hint="eastAsia" w:ascii="仿宋" w:hAnsi="仿宋" w:eastAsia="仿宋"/>
                <w:sz w:val="30"/>
                <w:szCs w:val="30"/>
              </w:rPr>
              <w:t>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1193</w:t>
            </w:r>
          </w:p>
        </w:tc>
        <w:tc>
          <w:tcPr>
            <w:tcW w:w="2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auto"/>
              <w:ind w:firstLine="600" w:firstLineChars="200"/>
              <w:rPr>
                <w:rFonts w:ascii="仿宋" w:hAnsi="仿宋" w:eastAsia="仿宋"/>
                <w:sz w:val="30"/>
                <w:szCs w:val="30"/>
              </w:rPr>
            </w:pPr>
            <w:r>
              <w:rPr>
                <w:rFonts w:hint="eastAsia" w:ascii="仿宋" w:hAnsi="仿宋" w:eastAsia="仿宋"/>
                <w:sz w:val="30"/>
                <w:szCs w:val="30"/>
              </w:rPr>
              <w:t>1195</w:t>
            </w:r>
          </w:p>
        </w:tc>
      </w:tr>
    </w:tbl>
    <w:p>
      <w:pPr>
        <w:spacing w:line="360" w:lineRule="auto"/>
        <w:ind w:firstLine="600" w:firstLineChars="200"/>
        <w:rPr>
          <w:rFonts w:ascii="仿宋" w:hAnsi="仿宋" w:eastAsia="仿宋"/>
          <w:sz w:val="30"/>
          <w:szCs w:val="30"/>
        </w:rPr>
        <w:sectPr>
          <w:footerReference r:id="rId6" w:type="default"/>
          <w:footerReference r:id="rId7" w:type="even"/>
          <w:pgSz w:w="11906" w:h="16838"/>
          <w:pgMar w:top="1701" w:right="1418" w:bottom="1418" w:left="1418" w:header="851" w:footer="992" w:gutter="0"/>
          <w:cols w:space="425" w:num="1"/>
          <w:docGrid w:linePitch="559" w:charSpace="-1683"/>
        </w:sectPr>
      </w:pPr>
    </w:p>
    <w:p>
      <w:pPr>
        <w:spacing w:line="360" w:lineRule="auto"/>
        <w:ind w:firstLine="600" w:firstLineChars="200"/>
        <w:rPr>
          <w:rFonts w:ascii="仿宋" w:hAnsi="仿宋" w:eastAsia="仿宋"/>
          <w:sz w:val="30"/>
          <w:szCs w:val="30"/>
        </w:rPr>
      </w:pPr>
    </w:p>
    <w:sectPr>
      <w:footerReference r:id="rId8" w:type="first"/>
      <w:pgSz w:w="11906" w:h="16838"/>
      <w:pgMar w:top="1701" w:right="1418" w:bottom="1418" w:left="1418" w:header="851" w:footer="992" w:gutter="0"/>
      <w:cols w:space="425" w:num="1"/>
      <w:titlePg/>
      <w:docGrid w:linePitch="55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color w:val="FFFFFF" w:themeColor="background1"/>
        <w:sz w:val="28"/>
        <w:szCs w:val="28"/>
      </w:rPr>
      <w:t>1</w:t>
    </w:r>
    <w:r>
      <w:rPr>
        <w:color w:val="FFFFFF" w:themeColor="background1"/>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color w:val="000000" w:themeColor="text1"/>
        <w:sz w:val="28"/>
        <w:szCs w:val="28"/>
      </w:rPr>
    </w:pPr>
    <w:r>
      <w:rPr>
        <w:color w:val="000000" w:themeColor="text1"/>
        <w:sz w:val="28"/>
        <w:szCs w:val="28"/>
      </w:rPr>
      <w:fldChar w:fldCharType="begin"/>
    </w:r>
    <w:r>
      <w:rPr>
        <w:color w:val="000000" w:themeColor="text1"/>
        <w:sz w:val="28"/>
        <w:szCs w:val="28"/>
      </w:rPr>
      <w:instrText xml:space="preserve"> PAGE   \* MERGEFORMAT </w:instrText>
    </w:r>
    <w:r>
      <w:rPr>
        <w:color w:val="000000" w:themeColor="text1"/>
        <w:sz w:val="28"/>
        <w:szCs w:val="28"/>
      </w:rPr>
      <w:fldChar w:fldCharType="separate"/>
    </w:r>
    <w:r>
      <w:rPr>
        <w:color w:val="000000" w:themeColor="text1"/>
        <w:sz w:val="28"/>
        <w:szCs w:val="28"/>
      </w:rPr>
      <w:t>7</w:t>
    </w:r>
    <w:r>
      <w:rPr>
        <w:color w:val="000000" w:themeColor="text1"/>
        <w:sz w:val="28"/>
        <w:szCs w:val="28"/>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15</w:t>
    </w:r>
    <w:r>
      <w:rPr>
        <w:color w:val="FFFFFF" w:themeColor="background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1"/>
  <w:drawingGridVerticalSpacing w:val="5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42F5"/>
    <w:rsid w:val="00052A15"/>
    <w:rsid w:val="00073A64"/>
    <w:rsid w:val="00096520"/>
    <w:rsid w:val="000A10AE"/>
    <w:rsid w:val="000A5A16"/>
    <w:rsid w:val="000B6CC8"/>
    <w:rsid w:val="000C08FB"/>
    <w:rsid w:val="000D183F"/>
    <w:rsid w:val="000E04F1"/>
    <w:rsid w:val="00101BE0"/>
    <w:rsid w:val="001024BB"/>
    <w:rsid w:val="0012192C"/>
    <w:rsid w:val="00123DC1"/>
    <w:rsid w:val="00132DB3"/>
    <w:rsid w:val="00157ED6"/>
    <w:rsid w:val="001640E2"/>
    <w:rsid w:val="00174DE7"/>
    <w:rsid w:val="0017564D"/>
    <w:rsid w:val="00181325"/>
    <w:rsid w:val="0018407E"/>
    <w:rsid w:val="001900DC"/>
    <w:rsid w:val="001A7064"/>
    <w:rsid w:val="001B0EC6"/>
    <w:rsid w:val="001B5DE3"/>
    <w:rsid w:val="001E2E7A"/>
    <w:rsid w:val="001E455F"/>
    <w:rsid w:val="002004AB"/>
    <w:rsid w:val="00214918"/>
    <w:rsid w:val="002242F5"/>
    <w:rsid w:val="002332CF"/>
    <w:rsid w:val="00247BDC"/>
    <w:rsid w:val="00251FE2"/>
    <w:rsid w:val="00267206"/>
    <w:rsid w:val="002866CE"/>
    <w:rsid w:val="002942B6"/>
    <w:rsid w:val="002B0D5D"/>
    <w:rsid w:val="002C59B8"/>
    <w:rsid w:val="002D5F56"/>
    <w:rsid w:val="002E16C8"/>
    <w:rsid w:val="002F1D55"/>
    <w:rsid w:val="002F4FEE"/>
    <w:rsid w:val="002F5560"/>
    <w:rsid w:val="003012DD"/>
    <w:rsid w:val="003268C7"/>
    <w:rsid w:val="00327A21"/>
    <w:rsid w:val="00343BDA"/>
    <w:rsid w:val="00344CA3"/>
    <w:rsid w:val="0035300C"/>
    <w:rsid w:val="00373A77"/>
    <w:rsid w:val="0039343E"/>
    <w:rsid w:val="0039407D"/>
    <w:rsid w:val="0039541A"/>
    <w:rsid w:val="003A1F17"/>
    <w:rsid w:val="003A6123"/>
    <w:rsid w:val="003C3B18"/>
    <w:rsid w:val="003F5510"/>
    <w:rsid w:val="0040124C"/>
    <w:rsid w:val="004131BA"/>
    <w:rsid w:val="00424B30"/>
    <w:rsid w:val="00431BFA"/>
    <w:rsid w:val="00453890"/>
    <w:rsid w:val="004908CD"/>
    <w:rsid w:val="004B207D"/>
    <w:rsid w:val="004C4105"/>
    <w:rsid w:val="004D0D1E"/>
    <w:rsid w:val="004E1282"/>
    <w:rsid w:val="004F39AB"/>
    <w:rsid w:val="004F5F80"/>
    <w:rsid w:val="00532FDC"/>
    <w:rsid w:val="00535285"/>
    <w:rsid w:val="00544CC5"/>
    <w:rsid w:val="0054644C"/>
    <w:rsid w:val="005625EE"/>
    <w:rsid w:val="00571734"/>
    <w:rsid w:val="00596E4B"/>
    <w:rsid w:val="005A2842"/>
    <w:rsid w:val="005B5F3C"/>
    <w:rsid w:val="005E61F8"/>
    <w:rsid w:val="006049CE"/>
    <w:rsid w:val="0062057B"/>
    <w:rsid w:val="00631839"/>
    <w:rsid w:val="00642C22"/>
    <w:rsid w:val="00645567"/>
    <w:rsid w:val="00665394"/>
    <w:rsid w:val="006664AF"/>
    <w:rsid w:val="00676DFE"/>
    <w:rsid w:val="006819FE"/>
    <w:rsid w:val="00693C20"/>
    <w:rsid w:val="006D6A32"/>
    <w:rsid w:val="006E12AC"/>
    <w:rsid w:val="00735207"/>
    <w:rsid w:val="0076348A"/>
    <w:rsid w:val="007713F7"/>
    <w:rsid w:val="007767CF"/>
    <w:rsid w:val="00793379"/>
    <w:rsid w:val="007B72B4"/>
    <w:rsid w:val="007C244E"/>
    <w:rsid w:val="007D69F8"/>
    <w:rsid w:val="00813848"/>
    <w:rsid w:val="00820D3E"/>
    <w:rsid w:val="00841B57"/>
    <w:rsid w:val="00845118"/>
    <w:rsid w:val="008557E7"/>
    <w:rsid w:val="00861FD6"/>
    <w:rsid w:val="0087524E"/>
    <w:rsid w:val="008B346F"/>
    <w:rsid w:val="008D381F"/>
    <w:rsid w:val="008D7020"/>
    <w:rsid w:val="008F0F11"/>
    <w:rsid w:val="008F5C21"/>
    <w:rsid w:val="00914C00"/>
    <w:rsid w:val="00935A38"/>
    <w:rsid w:val="00947E0F"/>
    <w:rsid w:val="00954456"/>
    <w:rsid w:val="00973751"/>
    <w:rsid w:val="00976CFA"/>
    <w:rsid w:val="009B744F"/>
    <w:rsid w:val="009E07C6"/>
    <w:rsid w:val="00A11290"/>
    <w:rsid w:val="00A17B78"/>
    <w:rsid w:val="00A25336"/>
    <w:rsid w:val="00A32C85"/>
    <w:rsid w:val="00A34330"/>
    <w:rsid w:val="00A52658"/>
    <w:rsid w:val="00A67393"/>
    <w:rsid w:val="00A721BA"/>
    <w:rsid w:val="00A76E08"/>
    <w:rsid w:val="00A8154D"/>
    <w:rsid w:val="00AA404D"/>
    <w:rsid w:val="00AE2BF6"/>
    <w:rsid w:val="00AE31EB"/>
    <w:rsid w:val="00B03831"/>
    <w:rsid w:val="00B1152B"/>
    <w:rsid w:val="00B25D28"/>
    <w:rsid w:val="00B310E8"/>
    <w:rsid w:val="00B523F8"/>
    <w:rsid w:val="00B70793"/>
    <w:rsid w:val="00BB27E1"/>
    <w:rsid w:val="00BB7290"/>
    <w:rsid w:val="00BC13CC"/>
    <w:rsid w:val="00BC30A1"/>
    <w:rsid w:val="00BC31DF"/>
    <w:rsid w:val="00BD10AE"/>
    <w:rsid w:val="00BD3038"/>
    <w:rsid w:val="00BD3BCE"/>
    <w:rsid w:val="00BE1520"/>
    <w:rsid w:val="00C524CE"/>
    <w:rsid w:val="00C60402"/>
    <w:rsid w:val="00C6254B"/>
    <w:rsid w:val="00C7407B"/>
    <w:rsid w:val="00CA178F"/>
    <w:rsid w:val="00CA1E8F"/>
    <w:rsid w:val="00CC15F7"/>
    <w:rsid w:val="00CD56DB"/>
    <w:rsid w:val="00D029C0"/>
    <w:rsid w:val="00D05909"/>
    <w:rsid w:val="00D10B74"/>
    <w:rsid w:val="00D25628"/>
    <w:rsid w:val="00D33997"/>
    <w:rsid w:val="00D37DC5"/>
    <w:rsid w:val="00D42BA6"/>
    <w:rsid w:val="00D45339"/>
    <w:rsid w:val="00D52C78"/>
    <w:rsid w:val="00D97030"/>
    <w:rsid w:val="00D97808"/>
    <w:rsid w:val="00DA39F5"/>
    <w:rsid w:val="00DB250C"/>
    <w:rsid w:val="00DB4EA3"/>
    <w:rsid w:val="00DD138B"/>
    <w:rsid w:val="00DD27BF"/>
    <w:rsid w:val="00DD5CAD"/>
    <w:rsid w:val="00DE3C01"/>
    <w:rsid w:val="00E135CA"/>
    <w:rsid w:val="00E15A07"/>
    <w:rsid w:val="00E308A8"/>
    <w:rsid w:val="00E353D0"/>
    <w:rsid w:val="00E50DE6"/>
    <w:rsid w:val="00E662B9"/>
    <w:rsid w:val="00E75BD7"/>
    <w:rsid w:val="00E8693C"/>
    <w:rsid w:val="00E90481"/>
    <w:rsid w:val="00EA182D"/>
    <w:rsid w:val="00EA58C5"/>
    <w:rsid w:val="00EA5B4A"/>
    <w:rsid w:val="00EC7C60"/>
    <w:rsid w:val="00EE69F7"/>
    <w:rsid w:val="00EE79EC"/>
    <w:rsid w:val="00F06384"/>
    <w:rsid w:val="00F44E0B"/>
    <w:rsid w:val="00F452EB"/>
    <w:rsid w:val="00F80A0D"/>
    <w:rsid w:val="00FA3419"/>
    <w:rsid w:val="00FB1DE7"/>
    <w:rsid w:val="00FD7252"/>
    <w:rsid w:val="00FE7321"/>
    <w:rsid w:val="02046F8E"/>
    <w:rsid w:val="07152CA2"/>
    <w:rsid w:val="08550F42"/>
    <w:rsid w:val="0A2C4802"/>
    <w:rsid w:val="0A515867"/>
    <w:rsid w:val="0DDA66C2"/>
    <w:rsid w:val="0ED0073C"/>
    <w:rsid w:val="0F921F92"/>
    <w:rsid w:val="0FCA5FD9"/>
    <w:rsid w:val="167E1B97"/>
    <w:rsid w:val="1A180D66"/>
    <w:rsid w:val="1C43776B"/>
    <w:rsid w:val="1E36739C"/>
    <w:rsid w:val="23D4738F"/>
    <w:rsid w:val="29B75A7A"/>
    <w:rsid w:val="2C2519BB"/>
    <w:rsid w:val="2CB0130D"/>
    <w:rsid w:val="2D683DF4"/>
    <w:rsid w:val="30BD2043"/>
    <w:rsid w:val="320E1710"/>
    <w:rsid w:val="342020A1"/>
    <w:rsid w:val="36F716C4"/>
    <w:rsid w:val="3D2A303E"/>
    <w:rsid w:val="44A92B15"/>
    <w:rsid w:val="4CE810E9"/>
    <w:rsid w:val="51B1430E"/>
    <w:rsid w:val="57D04B08"/>
    <w:rsid w:val="5CF83460"/>
    <w:rsid w:val="5EFF74AF"/>
    <w:rsid w:val="5F140208"/>
    <w:rsid w:val="609C34C8"/>
    <w:rsid w:val="612254B9"/>
    <w:rsid w:val="62F333EC"/>
    <w:rsid w:val="62F56380"/>
    <w:rsid w:val="64915C29"/>
    <w:rsid w:val="66EE6C0F"/>
    <w:rsid w:val="689C66ED"/>
    <w:rsid w:val="690B138F"/>
    <w:rsid w:val="730E035C"/>
    <w:rsid w:val="74E63709"/>
    <w:rsid w:val="7541798B"/>
    <w:rsid w:val="7AA74FF0"/>
    <w:rsid w:val="7D815B91"/>
    <w:rsid w:val="7FCE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0" w:name="HTML Cite"/>
    <w:lsdException w:qFormat="1" w:uiPriority="0" w:name="HTML Code"/>
    <w:lsdException w:qFormat="1" w:uiPriority="0" w:name="HTML Definition"/>
    <w:lsdException w:uiPriority="99" w:name="HTML Keyboard"/>
    <w:lsdException w:uiPriority="99" w:name="HTML Preformatted"/>
    <w:lsdException w:uiPriority="99" w:name="HTML Sample"/>
    <w:lsdException w:uiPriority="99" w:name="HTML Typewriter"/>
    <w:lsdException w:qFormat="1" w:uiPriority="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16"/>
    <w:qFormat/>
    <w:uiPriority w:val="1"/>
    <w:pPr>
      <w:jc w:val="center"/>
      <w:outlineLvl w:val="0"/>
    </w:pPr>
    <w:rPr>
      <w:rFonts w:ascii="PMingLiU" w:hAnsi="PMingLiU" w:eastAsia="PMingLiU" w:cs="PMingLiU"/>
      <w:sz w:val="44"/>
      <w:szCs w:val="44"/>
    </w:rPr>
  </w:style>
  <w:style w:type="paragraph" w:styleId="3">
    <w:name w:val="heading 2"/>
    <w:basedOn w:val="1"/>
    <w:next w:val="1"/>
    <w:link w:val="17"/>
    <w:semiHidden/>
    <w:unhideWhenUsed/>
    <w:qFormat/>
    <w:uiPriority w:val="0"/>
    <w:pPr>
      <w:keepNext/>
      <w:keepLines/>
      <w:spacing w:before="260" w:after="260" w:line="415" w:lineRule="auto"/>
      <w:outlineLvl w:val="1"/>
    </w:pPr>
    <w:rPr>
      <w:rFonts w:ascii="Cambria" w:hAnsi="Cambria"/>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semiHidden/>
    <w:unhideWhenUsed/>
    <w:qFormat/>
    <w:uiPriority w:val="1"/>
    <w:rPr>
      <w:sz w:val="32"/>
      <w:szCs w:val="32"/>
    </w:rPr>
  </w:style>
  <w:style w:type="paragraph" w:styleId="5">
    <w:name w:val="Plain Text"/>
    <w:basedOn w:val="1"/>
    <w:link w:val="28"/>
    <w:qFormat/>
    <w:uiPriority w:val="0"/>
    <w:pPr>
      <w:autoSpaceDE/>
      <w:autoSpaceDN/>
      <w:jc w:val="both"/>
    </w:pPr>
    <w:rPr>
      <w:rFonts w:hAnsi="Courier New" w:cs="Courier New"/>
      <w:kern w:val="2"/>
      <w:sz w:val="21"/>
      <w:szCs w:val="21"/>
      <w:lang w:val="en-US" w:bidi="ar-SA"/>
    </w:rPr>
  </w:style>
  <w:style w:type="paragraph" w:styleId="6">
    <w:name w:val="Balloon Text"/>
    <w:basedOn w:val="1"/>
    <w:link w:val="21"/>
    <w:semiHidden/>
    <w:unhideWhenUsed/>
    <w:qFormat/>
    <w:uiPriority w:val="0"/>
    <w:rPr>
      <w:sz w:val="18"/>
      <w:szCs w:val="18"/>
    </w:rPr>
  </w:style>
  <w:style w:type="paragraph" w:styleId="7">
    <w:name w:val="footer"/>
    <w:basedOn w:val="1"/>
    <w:link w:val="19"/>
    <w:unhideWhenUsed/>
    <w:qFormat/>
    <w:uiPriority w:val="99"/>
    <w:pPr>
      <w:tabs>
        <w:tab w:val="center" w:pos="4153"/>
        <w:tab w:val="right" w:pos="8306"/>
      </w:tabs>
      <w:snapToGrid w:val="0"/>
    </w:pPr>
    <w:rPr>
      <w:sz w:val="18"/>
    </w:rPr>
  </w:style>
  <w:style w:type="paragraph" w:styleId="8">
    <w:name w:val="header"/>
    <w:basedOn w:val="1"/>
    <w:link w:val="18"/>
    <w:unhideWhenUsed/>
    <w:qFormat/>
    <w:uiPriority w:val="0"/>
    <w:pPr>
      <w:tabs>
        <w:tab w:val="center" w:pos="4153"/>
        <w:tab w:val="right" w:pos="8306"/>
      </w:tabs>
      <w:snapToGrid w:val="0"/>
      <w:jc w:val="both"/>
    </w:pPr>
    <w:rPr>
      <w:sz w:val="18"/>
    </w:rPr>
  </w:style>
  <w:style w:type="paragraph" w:styleId="9">
    <w:name w:val="Normal (Web)"/>
    <w:basedOn w:val="1"/>
    <w:unhideWhenUsed/>
    <w:qFormat/>
    <w:uiPriority w:val="99"/>
    <w:pPr>
      <w:widowControl/>
      <w:autoSpaceDE/>
      <w:autoSpaceDN/>
      <w:spacing w:before="100" w:beforeAutospacing="1" w:after="100" w:afterAutospacing="1"/>
    </w:pPr>
    <w:rPr>
      <w:sz w:val="24"/>
      <w:szCs w:val="24"/>
      <w:lang w:val="en-US"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Emphasis"/>
    <w:basedOn w:val="12"/>
    <w:qFormat/>
    <w:uiPriority w:val="0"/>
  </w:style>
  <w:style w:type="character" w:styleId="15">
    <w:name w:val="Hyperlink"/>
    <w:basedOn w:val="12"/>
    <w:unhideWhenUsed/>
    <w:qFormat/>
    <w:uiPriority w:val="0"/>
    <w:rPr>
      <w:b/>
      <w:color w:val="0000FF"/>
      <w:u w:val="none"/>
    </w:rPr>
  </w:style>
  <w:style w:type="character" w:customStyle="1" w:styleId="16">
    <w:name w:val="标题 1 Char"/>
    <w:basedOn w:val="12"/>
    <w:link w:val="2"/>
    <w:qFormat/>
    <w:uiPriority w:val="1"/>
    <w:rPr>
      <w:rFonts w:ascii="PMingLiU" w:hAnsi="PMingLiU" w:eastAsia="PMingLiU" w:cs="PMingLiU"/>
      <w:kern w:val="0"/>
      <w:sz w:val="44"/>
      <w:szCs w:val="44"/>
      <w:lang w:val="zh-CN" w:bidi="zh-CN"/>
    </w:rPr>
  </w:style>
  <w:style w:type="character" w:customStyle="1" w:styleId="17">
    <w:name w:val="标题 2 Char"/>
    <w:basedOn w:val="12"/>
    <w:link w:val="3"/>
    <w:semiHidden/>
    <w:qFormat/>
    <w:uiPriority w:val="0"/>
    <w:rPr>
      <w:rFonts w:ascii="Cambria" w:hAnsi="Cambria" w:eastAsia="宋体" w:cs="宋体"/>
      <w:b/>
      <w:bCs/>
      <w:kern w:val="0"/>
      <w:sz w:val="32"/>
      <w:szCs w:val="32"/>
      <w:lang w:val="zh-CN" w:bidi="zh-CN"/>
    </w:rPr>
  </w:style>
  <w:style w:type="character" w:customStyle="1" w:styleId="18">
    <w:name w:val="页眉 Char"/>
    <w:basedOn w:val="12"/>
    <w:link w:val="8"/>
    <w:qFormat/>
    <w:uiPriority w:val="0"/>
    <w:rPr>
      <w:rFonts w:ascii="宋体" w:hAnsi="宋体" w:eastAsia="宋体" w:cs="宋体"/>
      <w:kern w:val="0"/>
      <w:sz w:val="18"/>
      <w:lang w:val="zh-CN" w:bidi="zh-CN"/>
    </w:rPr>
  </w:style>
  <w:style w:type="character" w:customStyle="1" w:styleId="19">
    <w:name w:val="页脚 Char"/>
    <w:basedOn w:val="12"/>
    <w:link w:val="7"/>
    <w:qFormat/>
    <w:uiPriority w:val="99"/>
    <w:rPr>
      <w:rFonts w:ascii="宋体" w:hAnsi="宋体" w:eastAsia="宋体" w:cs="宋体"/>
      <w:kern w:val="0"/>
      <w:sz w:val="18"/>
      <w:lang w:val="zh-CN" w:bidi="zh-CN"/>
    </w:rPr>
  </w:style>
  <w:style w:type="character" w:customStyle="1" w:styleId="20">
    <w:name w:val="正文文本 Char"/>
    <w:basedOn w:val="12"/>
    <w:link w:val="4"/>
    <w:semiHidden/>
    <w:qFormat/>
    <w:uiPriority w:val="1"/>
    <w:rPr>
      <w:rFonts w:ascii="宋体" w:hAnsi="宋体" w:eastAsia="宋体" w:cs="宋体"/>
      <w:kern w:val="0"/>
      <w:sz w:val="32"/>
      <w:szCs w:val="32"/>
      <w:lang w:val="zh-CN" w:bidi="zh-CN"/>
    </w:rPr>
  </w:style>
  <w:style w:type="character" w:customStyle="1" w:styleId="21">
    <w:name w:val="批注框文本 Char"/>
    <w:basedOn w:val="12"/>
    <w:link w:val="6"/>
    <w:semiHidden/>
    <w:qFormat/>
    <w:uiPriority w:val="0"/>
    <w:rPr>
      <w:rFonts w:ascii="宋体" w:hAnsi="宋体" w:eastAsia="宋体" w:cs="宋体"/>
      <w:kern w:val="0"/>
      <w:sz w:val="18"/>
      <w:szCs w:val="18"/>
      <w:lang w:val="zh-CN" w:bidi="zh-CN"/>
    </w:rPr>
  </w:style>
  <w:style w:type="paragraph" w:styleId="22">
    <w:name w:val="List Paragraph"/>
    <w:basedOn w:val="1"/>
    <w:qFormat/>
    <w:uiPriority w:val="1"/>
    <w:pPr>
      <w:spacing w:before="190"/>
      <w:ind w:left="218" w:right="266" w:firstLine="638"/>
    </w:pPr>
  </w:style>
  <w:style w:type="paragraph" w:customStyle="1" w:styleId="23">
    <w:name w:val="Table Paragraph"/>
    <w:basedOn w:val="1"/>
    <w:qFormat/>
    <w:uiPriority w:val="1"/>
  </w:style>
  <w:style w:type="paragraph" w:customStyle="1" w:styleId="24">
    <w:name w:val="样式1"/>
    <w:basedOn w:val="1"/>
    <w:next w:val="2"/>
    <w:link w:val="25"/>
    <w:qFormat/>
    <w:uiPriority w:val="0"/>
    <w:pPr>
      <w:autoSpaceDE/>
      <w:autoSpaceDN/>
      <w:ind w:firstLine="562" w:firstLineChars="200"/>
      <w:jc w:val="both"/>
    </w:pPr>
    <w:rPr>
      <w:rFonts w:cs="Times New Roman"/>
      <w:b/>
      <w:kern w:val="2"/>
      <w:sz w:val="28"/>
      <w:szCs w:val="144"/>
      <w:lang w:val="en-US" w:bidi="ar-SA"/>
    </w:rPr>
  </w:style>
  <w:style w:type="character" w:customStyle="1" w:styleId="25">
    <w:name w:val="样式1 Char"/>
    <w:basedOn w:val="12"/>
    <w:link w:val="24"/>
    <w:qFormat/>
    <w:uiPriority w:val="0"/>
    <w:rPr>
      <w:rFonts w:ascii="宋体" w:hAnsi="宋体"/>
      <w:b/>
      <w:kern w:val="2"/>
      <w:sz w:val="28"/>
      <w:szCs w:val="144"/>
    </w:rPr>
  </w:style>
  <w:style w:type="character" w:customStyle="1" w:styleId="26">
    <w:name w:val="不明显强调1"/>
    <w:basedOn w:val="12"/>
    <w:qFormat/>
    <w:uiPriority w:val="19"/>
    <w:rPr>
      <w:i/>
      <w:iCs/>
      <w:color w:val="808080"/>
    </w:rPr>
  </w:style>
  <w:style w:type="character" w:customStyle="1" w:styleId="27">
    <w:name w:val="bjh-p"/>
    <w:basedOn w:val="12"/>
    <w:qFormat/>
    <w:uiPriority w:val="0"/>
  </w:style>
  <w:style w:type="character" w:customStyle="1" w:styleId="28">
    <w:name w:val="纯文本 Char"/>
    <w:basedOn w:val="12"/>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1128</Words>
  <Characters>6436</Characters>
  <Lines>53</Lines>
  <Paragraphs>15</Paragraphs>
  <TotalTime>535</TotalTime>
  <ScaleCrop>false</ScaleCrop>
  <LinksUpToDate>false</LinksUpToDate>
  <CharactersWithSpaces>7549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2021-05-11T03:03:00Z</dcterms:created>
  <dc:creator>罗嫔嬛</dc:creator>
  <cp:lastModifiedBy>Administrator</cp:lastModifiedBy>
  <cp:lastPrinted>2021-05-13T09:01:00Z</cp:lastPrinted>
  <dcterms:modified xsi:type="dcterms:W3CDTF">2021-05-14T07:11:26Z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